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3C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Προκαταρκτικές Επισημάνσεις </w:t>
      </w:r>
    </w:p>
    <w:p w:rsidR="007533DA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Διαπιστώσεις Ανεργίας </w:t>
      </w:r>
      <w:r w:rsidR="00BD3C6C" w:rsidRPr="00A45988">
        <w:rPr>
          <w:b/>
          <w:i w:val="0"/>
          <w:color w:val="auto"/>
          <w:sz w:val="40"/>
          <w:szCs w:val="40"/>
          <w:lang w:val="el-GR"/>
        </w:rPr>
        <w:t>–</w:t>
      </w:r>
      <w:r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D9318E">
        <w:rPr>
          <w:b/>
          <w:i w:val="0"/>
          <w:color w:val="auto"/>
          <w:sz w:val="40"/>
          <w:szCs w:val="40"/>
          <w:lang w:val="el-GR"/>
        </w:rPr>
        <w:t>Μάι</w:t>
      </w:r>
      <w:r w:rsidR="0085297C">
        <w:rPr>
          <w:b/>
          <w:i w:val="0"/>
          <w:color w:val="auto"/>
          <w:sz w:val="40"/>
          <w:szCs w:val="40"/>
          <w:lang w:val="el-GR"/>
        </w:rPr>
        <w:t>ος</w:t>
      </w:r>
      <w:r w:rsidR="00D2116D"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267103" w:rsidRPr="00A45988">
        <w:rPr>
          <w:b/>
          <w:i w:val="0"/>
          <w:color w:val="auto"/>
          <w:sz w:val="40"/>
          <w:szCs w:val="40"/>
          <w:lang w:val="el-GR"/>
        </w:rPr>
        <w:t>201</w:t>
      </w:r>
      <w:r w:rsidR="00C325DD">
        <w:rPr>
          <w:b/>
          <w:i w:val="0"/>
          <w:color w:val="auto"/>
          <w:sz w:val="40"/>
          <w:szCs w:val="40"/>
          <w:lang w:val="el-GR"/>
        </w:rPr>
        <w:t>9</w:t>
      </w:r>
    </w:p>
    <w:p w:rsidR="00267103" w:rsidRPr="009D5A5D" w:rsidRDefault="00267103" w:rsidP="00267103">
      <w:pPr>
        <w:rPr>
          <w:lang w:val="el-GR"/>
        </w:rPr>
      </w:pPr>
    </w:p>
    <w:p w:rsidR="008C5C74" w:rsidRPr="002D6A8E" w:rsidRDefault="008A0686" w:rsidP="00DB660D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Α.  </w:t>
      </w:r>
      <w:r w:rsidR="008C5C74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Ανεργία Προσαρμοσμένη στις Εποχι</w:t>
      </w:r>
      <w:r w:rsidR="004C09A6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κ</w:t>
      </w:r>
      <w:r w:rsidR="008C5C74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ές Διακυμάνσεις</w:t>
      </w:r>
      <w:r w:rsidR="008C5C74" w:rsidRPr="002D6A8E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1"/>
      </w:r>
    </w:p>
    <w:p w:rsidR="008C5C74" w:rsidRPr="002D6A8E" w:rsidRDefault="008C5C74" w:rsidP="00235E23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EUROSTAT)</w:t>
      </w:r>
      <w:r w:rsidR="00124068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 </w:t>
      </w:r>
    </w:p>
    <w:p w:rsidR="002B3A4E" w:rsidRPr="002D6A8E" w:rsidRDefault="002B3A4E" w:rsidP="002B3A4E">
      <w:pPr>
        <w:jc w:val="both"/>
        <w:rPr>
          <w:rFonts w:ascii="Calibri" w:eastAsia="Calibri" w:hAnsi="Calibri" w:cs="Arial"/>
          <w:b/>
          <w:bCs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2D6A8E">
        <w:rPr>
          <w:rFonts w:ascii="Calibri" w:eastAsia="Calibri" w:hAnsi="Calibri" w:cs="Arial"/>
          <w:sz w:val="22"/>
          <w:szCs w:val="22"/>
        </w:rPr>
        <w:t>Eurostat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, τα οποία είναι προκαταρκτικά και αποτελούν </w:t>
      </w:r>
      <w:r w:rsidR="00BA6870" w:rsidRPr="002D6A8E">
        <w:rPr>
          <w:rFonts w:ascii="Calibri" w:eastAsia="Calibri" w:hAnsi="Calibri" w:cs="Arial"/>
          <w:sz w:val="22"/>
          <w:szCs w:val="22"/>
          <w:lang w:val="el-GR"/>
        </w:rPr>
        <w:t>εκτίμηση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, κατά το μήνα </w:t>
      </w:r>
      <w:r w:rsidR="00C27CA1">
        <w:rPr>
          <w:rFonts w:ascii="Calibri" w:eastAsia="Calibri" w:hAnsi="Calibri" w:cs="Arial"/>
          <w:i/>
          <w:sz w:val="22"/>
          <w:szCs w:val="22"/>
          <w:lang w:val="el-GR"/>
        </w:rPr>
        <w:t>Μάρτιο</w:t>
      </w:r>
      <w:r w:rsidR="00DC1EFA" w:rsidRPr="002D6A8E">
        <w:rPr>
          <w:rFonts w:ascii="Calibri" w:eastAsia="Calibri" w:hAnsi="Calibri" w:cs="Arial"/>
          <w:i/>
          <w:sz w:val="22"/>
          <w:szCs w:val="22"/>
          <w:lang w:val="el-GR"/>
        </w:rPr>
        <w:t xml:space="preserve"> </w:t>
      </w:r>
      <w:r w:rsidR="00D40C96" w:rsidRPr="002D6A8E">
        <w:rPr>
          <w:rFonts w:ascii="Calibri" w:eastAsia="Calibri" w:hAnsi="Calibri" w:cs="Arial"/>
          <w:i/>
          <w:sz w:val="22"/>
          <w:szCs w:val="22"/>
          <w:lang w:val="el-GR"/>
        </w:rPr>
        <w:t xml:space="preserve">του </w:t>
      </w:r>
      <w:r w:rsidRPr="002D6A8E">
        <w:rPr>
          <w:rFonts w:ascii="Calibri" w:eastAsia="Calibri" w:hAnsi="Calibri" w:cs="Arial"/>
          <w:i/>
          <w:sz w:val="22"/>
          <w:szCs w:val="22"/>
          <w:lang w:val="el-GR"/>
        </w:rPr>
        <w:t>201</w:t>
      </w:r>
      <w:r w:rsidR="00E961FD" w:rsidRPr="00E961FD">
        <w:rPr>
          <w:rFonts w:ascii="Calibri" w:eastAsia="Calibri" w:hAnsi="Calibri" w:cs="Arial"/>
          <w:i/>
          <w:sz w:val="22"/>
          <w:szCs w:val="22"/>
          <w:lang w:val="el-GR"/>
        </w:rPr>
        <w:t>9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η ανεργία 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 xml:space="preserve">στην Κύπρο 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ανήλθε στο </w:t>
      </w:r>
      <w:r w:rsidR="00E961FD" w:rsidRPr="00E961FD">
        <w:rPr>
          <w:rFonts w:ascii="Calibri" w:eastAsia="Calibri" w:hAnsi="Calibri" w:cs="Arial"/>
          <w:sz w:val="22"/>
          <w:szCs w:val="22"/>
          <w:lang w:val="el-GR"/>
        </w:rPr>
        <w:t>7,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0</w:t>
      </w:r>
      <w:r w:rsidR="001817AE" w:rsidRPr="002D6A8E">
        <w:rPr>
          <w:rFonts w:ascii="Calibri" w:eastAsia="Calibri" w:hAnsi="Calibri" w:cs="Arial"/>
          <w:b/>
          <w:sz w:val="22"/>
          <w:szCs w:val="22"/>
          <w:lang w:val="el-GR"/>
        </w:rPr>
        <w:t>%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9F60DE" w:rsidRPr="002D6A8E">
        <w:rPr>
          <w:rFonts w:ascii="Calibri" w:eastAsia="Calibri" w:hAnsi="Calibri" w:cs="Arial"/>
          <w:sz w:val="22"/>
          <w:szCs w:val="22"/>
          <w:lang w:val="el-GR"/>
        </w:rPr>
        <w:t xml:space="preserve">παρουσιάζοντας μείωση κατά 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2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ποσοστιαί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μονάδ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σε σχέση με τον ίδιο μήνα πέρσι (</w:t>
      </w:r>
      <w:r w:rsidR="00823426">
        <w:rPr>
          <w:rFonts w:ascii="Calibri" w:eastAsia="Calibri" w:hAnsi="Calibri" w:cs="Arial"/>
          <w:sz w:val="22"/>
          <w:szCs w:val="22"/>
          <w:lang w:val="el-GR"/>
        </w:rPr>
        <w:t>9,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0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>%). Σε σύγκριση με το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>ν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προηγούμενο</w:t>
      </w:r>
      <w:r w:rsidR="00BE105E"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>μήν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 xml:space="preserve">α, 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Φεβρουάριο</w:t>
      </w:r>
      <w:r w:rsidR="00823426">
        <w:rPr>
          <w:rFonts w:ascii="Calibri" w:eastAsia="Calibri" w:hAnsi="Calibri" w:cs="Arial"/>
          <w:sz w:val="22"/>
          <w:szCs w:val="22"/>
          <w:lang w:val="el-GR"/>
        </w:rPr>
        <w:t xml:space="preserve"> 2019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>,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 ποσοστό </w:t>
      </w:r>
      <w:r w:rsidR="004772F2" w:rsidRPr="002D6A8E">
        <w:rPr>
          <w:rFonts w:ascii="Calibri" w:eastAsia="Calibri" w:hAnsi="Calibri" w:cs="Arial"/>
          <w:sz w:val="22"/>
          <w:szCs w:val="22"/>
          <w:lang w:val="el-GR"/>
        </w:rPr>
        <w:t xml:space="preserve">ανεργίας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μειώθηκε</w:t>
      </w:r>
      <w:r w:rsidR="00D260F6" w:rsidRPr="002D6A8E">
        <w:rPr>
          <w:rFonts w:ascii="Calibri" w:eastAsia="Calibri" w:hAnsi="Calibri" w:cs="Arial"/>
          <w:sz w:val="22"/>
          <w:szCs w:val="22"/>
          <w:lang w:val="el-GR"/>
        </w:rPr>
        <w:t xml:space="preserve"> κατά 0,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1</w:t>
      </w:r>
      <w:r w:rsidR="004772F2" w:rsidRPr="002D6A8E">
        <w:rPr>
          <w:rFonts w:ascii="Calibri" w:eastAsia="Calibri" w:hAnsi="Calibri" w:cs="Arial"/>
          <w:sz w:val="22"/>
          <w:szCs w:val="22"/>
          <w:lang w:val="el-GR"/>
        </w:rPr>
        <w:t xml:space="preserve"> ποσοστιαία μονάδα</w:t>
      </w:r>
      <w:r w:rsidR="00D96D5F" w:rsidRPr="002D6A8E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  <w:r w:rsidR="00921803" w:rsidRPr="002D6A8E">
        <w:rPr>
          <w:rFonts w:ascii="Calibri" w:eastAsia="Calibri" w:hAnsi="Calibri" w:cs="Arial"/>
          <w:sz w:val="22"/>
          <w:szCs w:val="22"/>
          <w:lang w:val="el-GR"/>
        </w:rPr>
        <w:t>Το επίπεδο ανεργίας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στην </w:t>
      </w:r>
      <w:r w:rsidR="00921803" w:rsidRPr="002D6A8E">
        <w:rPr>
          <w:rFonts w:ascii="Calibri" w:eastAsia="Calibri" w:hAnsi="Calibri" w:cs="Arial"/>
          <w:sz w:val="22"/>
          <w:szCs w:val="22"/>
          <w:lang w:val="el-GR"/>
        </w:rPr>
        <w:t>Ευρωζώνη (ΕΑ 19)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έφτασε στο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7,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7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% τον 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Μάρτιο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201</w:t>
      </w:r>
      <w:r w:rsidR="00E961FD">
        <w:rPr>
          <w:rFonts w:ascii="Calibri" w:eastAsia="Calibri" w:hAnsi="Calibri" w:cs="Arial"/>
          <w:sz w:val="22"/>
          <w:szCs w:val="22"/>
          <w:lang w:val="el-GR"/>
        </w:rPr>
        <w:t>9</w:t>
      </w:r>
      <w:r w:rsidR="00DE0AB6" w:rsidRPr="002D6A8E">
        <w:rPr>
          <w:rFonts w:ascii="Calibri" w:eastAsia="Calibri" w:hAnsi="Calibri" w:cs="Arial"/>
          <w:sz w:val="22"/>
          <w:szCs w:val="22"/>
          <w:lang w:val="el-GR"/>
        </w:rPr>
        <w:t xml:space="preserve"> καταγράφοντας το χαμηλότερο ποσοστό ανεργίας από τον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Οκτώβριο</w:t>
      </w:r>
      <w:r w:rsidR="00DE0AB6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2008</w:t>
      </w:r>
      <w:r w:rsidR="00921803" w:rsidRPr="002D6A8E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</w:p>
    <w:p w:rsidR="003C61A1" w:rsidRPr="002D6A8E" w:rsidRDefault="00921803" w:rsidP="00921803">
      <w:pPr>
        <w:pStyle w:val="ListParagraph"/>
        <w:tabs>
          <w:tab w:val="left" w:pos="4150"/>
        </w:tabs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8"/>
          <w:szCs w:val="8"/>
          <w:lang w:val="el-GR"/>
        </w:rPr>
      </w:pPr>
      <w:r w:rsidRPr="002D6A8E">
        <w:rPr>
          <w:rFonts w:asciiTheme="minorHAnsi" w:hAnsiTheme="minorHAnsi" w:cs="Arial"/>
          <w:b w:val="0"/>
          <w:bCs w:val="0"/>
          <w:color w:val="auto"/>
          <w:sz w:val="8"/>
          <w:szCs w:val="8"/>
          <w:lang w:val="el-GR"/>
        </w:rPr>
        <w:tab/>
      </w:r>
    </w:p>
    <w:p w:rsidR="001731B4" w:rsidRPr="00823426" w:rsidRDefault="001731B4" w:rsidP="001731B4">
      <w:pPr>
        <w:spacing w:after="0"/>
        <w:jc w:val="both"/>
        <w:rPr>
          <w:rFonts w:ascii="Calibri" w:eastAsia="Calibri" w:hAnsi="Calibri" w:cs="Arial"/>
          <w:bCs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Η ανεργία των νέων </w:t>
      </w:r>
      <w:r w:rsidR="00313830" w:rsidRPr="002D6A8E">
        <w:rPr>
          <w:rFonts w:ascii="Calibri" w:eastAsia="Calibri" w:hAnsi="Calibri" w:cs="Arial"/>
          <w:bCs/>
          <w:sz w:val="22"/>
          <w:szCs w:val="22"/>
          <w:lang w:val="el-GR"/>
        </w:rPr>
        <w:t>15-24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ετών </w:t>
      </w:r>
      <w:r w:rsidR="00421F8B" w:rsidRPr="002D6A8E">
        <w:rPr>
          <w:rFonts w:ascii="Calibri" w:eastAsia="Calibri" w:hAnsi="Calibri" w:cs="Arial"/>
          <w:bCs/>
          <w:sz w:val="22"/>
          <w:szCs w:val="22"/>
          <w:lang w:val="el-GR"/>
        </w:rPr>
        <w:t>μειώθηκε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στο </w:t>
      </w:r>
      <w:r w:rsidR="00E961FD">
        <w:rPr>
          <w:rFonts w:ascii="Calibri" w:eastAsia="Calibri" w:hAnsi="Calibri" w:cs="Arial"/>
          <w:bCs/>
          <w:sz w:val="22"/>
          <w:szCs w:val="22"/>
          <w:lang w:val="el-GR"/>
        </w:rPr>
        <w:t>20,</w:t>
      </w:r>
      <w:r w:rsidR="00823426">
        <w:rPr>
          <w:rFonts w:ascii="Calibri" w:eastAsia="Calibri" w:hAnsi="Calibri" w:cs="Arial"/>
          <w:bCs/>
          <w:sz w:val="22"/>
          <w:szCs w:val="22"/>
          <w:lang w:val="el-GR"/>
        </w:rPr>
        <w:t>2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% </w:t>
      </w:r>
      <w:r w:rsidR="00DE6668" w:rsidRPr="002D6A8E">
        <w:rPr>
          <w:rFonts w:ascii="Calibri" w:eastAsia="Calibri" w:hAnsi="Calibri" w:cs="Arial"/>
          <w:bCs/>
          <w:sz w:val="22"/>
          <w:szCs w:val="22"/>
          <w:lang w:val="el-GR"/>
        </w:rPr>
        <w:t>το</w:t>
      </w:r>
      <w:r w:rsidR="00F026C7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ν </w:t>
      </w:r>
      <w:r w:rsidR="00E961FD">
        <w:rPr>
          <w:rFonts w:ascii="Calibri" w:eastAsia="Calibri" w:hAnsi="Calibri" w:cs="Arial"/>
          <w:bCs/>
          <w:sz w:val="22"/>
          <w:szCs w:val="22"/>
          <w:lang w:val="el-GR"/>
        </w:rPr>
        <w:t>Δεκέμβρ</w:t>
      </w:r>
      <w:r w:rsidR="00C85868" w:rsidRPr="002D6A8E">
        <w:rPr>
          <w:rFonts w:ascii="Calibri" w:eastAsia="Calibri" w:hAnsi="Calibri" w:cs="Arial"/>
          <w:bCs/>
          <w:sz w:val="22"/>
          <w:szCs w:val="22"/>
          <w:lang w:val="el-GR"/>
        </w:rPr>
        <w:t>ιο</w:t>
      </w:r>
      <w:r w:rsidR="007E46E7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του</w:t>
      </w:r>
      <w:r w:rsidR="00183892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201</w:t>
      </w:r>
      <w:r w:rsidR="00DC1EFA" w:rsidRPr="002D6A8E">
        <w:rPr>
          <w:rFonts w:ascii="Calibri" w:eastAsia="Calibri" w:hAnsi="Calibri" w:cs="Arial"/>
          <w:bCs/>
          <w:sz w:val="22"/>
          <w:szCs w:val="22"/>
          <w:lang w:val="el-GR"/>
        </w:rPr>
        <w:t>8</w:t>
      </w:r>
      <w:r w:rsidR="00183892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  <w:r w:rsidR="00D40C96" w:rsidRPr="002D6A8E">
        <w:rPr>
          <w:rFonts w:ascii="Calibri" w:eastAsia="Calibri" w:hAnsi="Calibri" w:cs="Arial"/>
          <w:bCs/>
          <w:i/>
          <w:sz w:val="22"/>
          <w:szCs w:val="22"/>
          <w:lang w:val="el-GR"/>
        </w:rPr>
        <w:t>(δεν υπάρχουν νεότερα στοιχεία)</w:t>
      </w:r>
      <w:r w:rsidR="00042CEC" w:rsidRPr="002D6A8E">
        <w:rPr>
          <w:rFonts w:ascii="Calibri" w:eastAsia="Calibri" w:hAnsi="Calibri" w:cs="Arial"/>
          <w:bCs/>
          <w:sz w:val="22"/>
          <w:szCs w:val="22"/>
          <w:lang w:val="el-GR"/>
        </w:rPr>
        <w:t>.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</w:p>
    <w:p w:rsidR="003C61A1" w:rsidRPr="002D6A8E" w:rsidRDefault="003C61A1" w:rsidP="003C61A1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16"/>
          <w:szCs w:val="16"/>
          <w:lang w:val="el-GR"/>
        </w:rPr>
      </w:pPr>
    </w:p>
    <w:p w:rsidR="002B3A4E" w:rsidRPr="002D6A8E" w:rsidRDefault="00520BA4" w:rsidP="002B3A4E">
      <w:pPr>
        <w:jc w:val="both"/>
        <w:rPr>
          <w:rFonts w:ascii="Calibri" w:eastAsia="Calibri" w:hAnsi="Calibri" w:cs="Arial"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sz w:val="22"/>
          <w:szCs w:val="22"/>
          <w:lang w:val="el-GR"/>
        </w:rPr>
        <w:t>Τον</w:t>
      </w:r>
      <w:r w:rsidR="00FD0A80"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Μάρτιο</w:t>
      </w:r>
      <w:r w:rsidR="00BE105E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  <w:r w:rsidR="00FD0A80" w:rsidRPr="002D6A8E">
        <w:rPr>
          <w:rFonts w:ascii="Calibri" w:eastAsia="Calibri" w:hAnsi="Calibri" w:cs="Arial"/>
          <w:sz w:val="22"/>
          <w:szCs w:val="22"/>
          <w:lang w:val="el-GR"/>
        </w:rPr>
        <w:t>του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BE105E" w:rsidRPr="002D6A8E">
        <w:rPr>
          <w:rFonts w:ascii="Calibri" w:eastAsia="Calibri" w:hAnsi="Calibri" w:cs="Arial"/>
          <w:sz w:val="22"/>
          <w:szCs w:val="22"/>
          <w:lang w:val="el-GR"/>
        </w:rPr>
        <w:t>201</w:t>
      </w:r>
      <w:r w:rsidR="008276A9">
        <w:rPr>
          <w:rFonts w:ascii="Calibri" w:eastAsia="Calibri" w:hAnsi="Calibri" w:cs="Arial"/>
          <w:sz w:val="22"/>
          <w:szCs w:val="22"/>
          <w:lang w:val="el-GR"/>
        </w:rPr>
        <w:t>9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ο μέσος όρος στην Ευρώπη (</w:t>
      </w:r>
      <w:r w:rsidR="002B3A4E" w:rsidRPr="002D6A8E">
        <w:rPr>
          <w:rFonts w:ascii="Calibri" w:eastAsia="Calibri" w:hAnsi="Calibri" w:cs="Arial"/>
          <w:sz w:val="22"/>
          <w:szCs w:val="22"/>
        </w:rPr>
        <w:t>EU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28) </w:t>
      </w:r>
      <w:r w:rsidR="00D44829" w:rsidRPr="002D6A8E">
        <w:rPr>
          <w:rFonts w:ascii="Calibri" w:eastAsia="Calibri" w:hAnsi="Calibri" w:cs="Arial"/>
          <w:sz w:val="22"/>
          <w:szCs w:val="22"/>
          <w:lang w:val="el-GR"/>
        </w:rPr>
        <w:t>έφτασε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στο 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>6,</w:t>
      </w:r>
      <w:r w:rsidR="00C27CA1">
        <w:rPr>
          <w:rFonts w:ascii="Calibri" w:eastAsia="Calibri" w:hAnsi="Calibri" w:cs="Arial"/>
          <w:sz w:val="22"/>
          <w:szCs w:val="22"/>
          <w:lang w:val="el-GR"/>
        </w:rPr>
        <w:t>4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>% καταγράφοντας το χαμηλότερο ποσοστό ανεργίας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από τον 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>Ιανουάριο</w:t>
      </w:r>
      <w:r w:rsidR="00DB4765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200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>0</w:t>
      </w:r>
      <w:r w:rsidR="00F03ED3" w:rsidRPr="002D6A8E">
        <w:rPr>
          <w:rFonts w:ascii="Calibri" w:eastAsia="Calibri" w:hAnsi="Calibri" w:cs="Arial"/>
          <w:sz w:val="22"/>
          <w:szCs w:val="22"/>
          <w:lang w:val="el-GR"/>
        </w:rPr>
        <w:t>, όπου ήταν η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 xml:space="preserve"> έναρξη της καταγραφής της σειράς των μηνιαίων στατιστικών ανεργίας της ΕΕ)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.  </w:t>
      </w:r>
    </w:p>
    <w:p w:rsidR="009D57FF" w:rsidRDefault="009D57FF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u w:val="single"/>
          <w:lang w:val="el-GR"/>
        </w:rPr>
      </w:pPr>
    </w:p>
    <w:p w:rsidR="000C1C44" w:rsidRPr="006D2825" w:rsidRDefault="000C1C44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6D2825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Β.  Έρευνα Εργατικού Δυναμικού</w:t>
      </w:r>
      <w:r w:rsidRPr="006D2825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2"/>
      </w:r>
    </w:p>
    <w:p w:rsidR="000C1C44" w:rsidRPr="006D2825" w:rsidRDefault="000C1C44" w:rsidP="000C1C44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6D2825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Στατιστική Υπηρεσία)</w:t>
      </w:r>
    </w:p>
    <w:p w:rsidR="00DF31B2" w:rsidRPr="006D2825" w:rsidRDefault="00767448" w:rsidP="00767448">
      <w:pPr>
        <w:spacing w:after="240"/>
        <w:jc w:val="both"/>
        <w:rPr>
          <w:rFonts w:asciiTheme="minorHAnsi" w:hAnsiTheme="minorHAnsi"/>
          <w:sz w:val="22"/>
          <w:szCs w:val="22"/>
          <w:lang w:val="el-GR"/>
        </w:rPr>
      </w:pPr>
      <w:r w:rsidRPr="006D2825">
        <w:rPr>
          <w:rFonts w:asciiTheme="minorHAnsi" w:hAnsiTheme="minorHAnsi"/>
          <w:sz w:val="22"/>
          <w:szCs w:val="22"/>
          <w:lang w:val="el-GR"/>
        </w:rPr>
        <w:t>Σύμφωνα με τα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τελευταία</w:t>
      </w:r>
      <w:r w:rsidRPr="006D2825">
        <w:rPr>
          <w:rFonts w:asciiTheme="minorHAnsi" w:hAnsiTheme="minorHAnsi"/>
          <w:sz w:val="22"/>
          <w:szCs w:val="22"/>
          <w:lang w:val="el-GR"/>
        </w:rPr>
        <w:t xml:space="preserve"> στοιχεία της Έρευνας Εργατικού Δυναμικού, 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>κατά το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 xml:space="preserve"> πρώτο τρίμηνο του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201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9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το ποσοστό ανεργίας διαμορφώθηκε στο 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8,8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% </w:t>
      </w:r>
      <w:r w:rsidR="00C20E5B" w:rsidRPr="006D2825">
        <w:rPr>
          <w:rFonts w:asciiTheme="minorHAnsi" w:hAnsiTheme="minorHAnsi"/>
          <w:sz w:val="22"/>
          <w:szCs w:val="22"/>
          <w:lang w:val="el-GR"/>
        </w:rPr>
        <w:t xml:space="preserve">του εργατικού δυναμικού 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>(</w:t>
      </w:r>
      <w:r w:rsidR="00F500F1" w:rsidRPr="006D2825">
        <w:rPr>
          <w:rFonts w:asciiTheme="minorHAnsi" w:hAnsiTheme="minorHAnsi"/>
          <w:sz w:val="22"/>
          <w:szCs w:val="22"/>
          <w:lang w:val="el-GR"/>
        </w:rPr>
        <w:t>3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9</w:t>
      </w:r>
      <w:r w:rsidR="00C20E5B" w:rsidRPr="006D2825">
        <w:rPr>
          <w:rFonts w:asciiTheme="minorHAnsi" w:hAnsiTheme="minorHAnsi"/>
          <w:sz w:val="22"/>
          <w:szCs w:val="22"/>
          <w:lang w:val="el-GR"/>
        </w:rPr>
        <w:t>.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252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6D2825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) παρουσιάζοντας μείωση </w:t>
      </w:r>
      <w:r w:rsidR="00C20E5B" w:rsidRPr="006D2825">
        <w:rPr>
          <w:rFonts w:asciiTheme="minorHAnsi" w:hAnsiTheme="minorHAnsi"/>
          <w:sz w:val="22"/>
          <w:szCs w:val="22"/>
          <w:lang w:val="el-GR"/>
        </w:rPr>
        <w:t xml:space="preserve">κατά 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1,9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 xml:space="preserve">πρώτο τρίμηνο του </w:t>
      </w:r>
      <w:r w:rsidR="00CC600A" w:rsidRPr="006D2825">
        <w:rPr>
          <w:rFonts w:asciiTheme="minorHAnsi" w:hAnsiTheme="minorHAnsi"/>
          <w:sz w:val="22"/>
          <w:szCs w:val="22"/>
          <w:lang w:val="el-GR"/>
        </w:rPr>
        <w:t>201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8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που ήταν 1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0</w:t>
      </w:r>
      <w:r w:rsidR="009D5A5D" w:rsidRPr="006D2825">
        <w:rPr>
          <w:rFonts w:asciiTheme="minorHAnsi" w:hAnsiTheme="minorHAnsi"/>
          <w:sz w:val="22"/>
          <w:szCs w:val="22"/>
          <w:lang w:val="el-GR"/>
        </w:rPr>
        <w:t>.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7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>% (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46</w:t>
      </w:r>
      <w:r w:rsidR="00F500F1" w:rsidRPr="006D2825">
        <w:rPr>
          <w:rFonts w:asciiTheme="minorHAnsi" w:hAnsiTheme="minorHAnsi"/>
          <w:sz w:val="22"/>
          <w:szCs w:val="22"/>
          <w:lang w:val="el-GR"/>
        </w:rPr>
        <w:t>.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468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6D2825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6D2825">
        <w:rPr>
          <w:rFonts w:asciiTheme="minorHAnsi" w:hAnsiTheme="minorHAnsi"/>
          <w:sz w:val="22"/>
          <w:szCs w:val="22"/>
          <w:lang w:val="el-GR"/>
        </w:rPr>
        <w:t xml:space="preserve">). </w:t>
      </w:r>
    </w:p>
    <w:p w:rsidR="007B0395" w:rsidRPr="006D2825" w:rsidRDefault="007B0395" w:rsidP="007B0395">
      <w:pPr>
        <w:spacing w:after="240"/>
        <w:jc w:val="both"/>
        <w:rPr>
          <w:rFonts w:ascii="Calibri" w:hAnsi="Calibri"/>
          <w:b/>
          <w:bCs/>
          <w:spacing w:val="4"/>
          <w:sz w:val="22"/>
          <w:szCs w:val="22"/>
          <w:lang w:val="el-GR"/>
        </w:rPr>
      </w:pPr>
      <w:r w:rsidRPr="006D2825">
        <w:rPr>
          <w:rFonts w:ascii="Calibri" w:hAnsi="Calibri"/>
          <w:sz w:val="22"/>
          <w:szCs w:val="22"/>
          <w:lang w:val="el-GR"/>
        </w:rPr>
        <w:t>Σε σχέση με τα προηγούμενα χρόνια ο</w:t>
      </w:r>
      <w:r w:rsidRPr="006D2825">
        <w:rPr>
          <w:rFonts w:ascii="Calibri" w:hAnsi="Calibri"/>
          <w:spacing w:val="4"/>
          <w:sz w:val="22"/>
          <w:szCs w:val="22"/>
          <w:lang w:val="el-GR"/>
        </w:rPr>
        <w:t xml:space="preserve"> μέσος όρος </w:t>
      </w:r>
      <w:r w:rsidR="00C20E5B" w:rsidRPr="006D2825">
        <w:rPr>
          <w:rFonts w:ascii="Calibri" w:hAnsi="Calibri"/>
          <w:spacing w:val="4"/>
          <w:sz w:val="22"/>
          <w:szCs w:val="22"/>
          <w:lang w:val="el-GR"/>
        </w:rPr>
        <w:t xml:space="preserve">ανεργίας </w:t>
      </w:r>
      <w:r w:rsidR="00421F8B" w:rsidRPr="006D2825">
        <w:rPr>
          <w:rFonts w:ascii="Calibri" w:hAnsi="Calibri"/>
          <w:spacing w:val="4"/>
          <w:sz w:val="22"/>
          <w:szCs w:val="22"/>
          <w:lang w:val="el-GR"/>
        </w:rPr>
        <w:t xml:space="preserve">κατά </w:t>
      </w:r>
      <w:r w:rsidR="00152E05" w:rsidRPr="006D2825">
        <w:rPr>
          <w:rFonts w:ascii="Calibri" w:hAnsi="Calibri"/>
          <w:spacing w:val="4"/>
          <w:sz w:val="22"/>
          <w:szCs w:val="22"/>
          <w:lang w:val="el-GR"/>
        </w:rPr>
        <w:t xml:space="preserve">το </w:t>
      </w:r>
      <w:r w:rsidR="00D9318E" w:rsidRPr="006D2825">
        <w:rPr>
          <w:rFonts w:ascii="Calibri" w:hAnsi="Calibri"/>
          <w:spacing w:val="4"/>
          <w:sz w:val="22"/>
          <w:szCs w:val="22"/>
          <w:lang w:val="el-GR"/>
        </w:rPr>
        <w:t xml:space="preserve">2018 ήταν 8,4%, το </w:t>
      </w:r>
      <w:r w:rsidR="00152E05" w:rsidRPr="006D2825">
        <w:rPr>
          <w:rFonts w:ascii="Calibri" w:hAnsi="Calibri"/>
          <w:spacing w:val="4"/>
          <w:sz w:val="22"/>
          <w:szCs w:val="22"/>
          <w:lang w:val="el-GR"/>
        </w:rPr>
        <w:t>2017 ήταν 11,1</w:t>
      </w:r>
      <w:r w:rsidR="00CC600A" w:rsidRPr="006D2825">
        <w:rPr>
          <w:rFonts w:ascii="Calibri" w:hAnsi="Calibri"/>
          <w:spacing w:val="4"/>
          <w:sz w:val="22"/>
          <w:szCs w:val="22"/>
          <w:lang w:val="el-GR"/>
        </w:rPr>
        <w:t xml:space="preserve">%, </w:t>
      </w:r>
      <w:r w:rsidR="00921803" w:rsidRPr="006D2825">
        <w:rPr>
          <w:rFonts w:ascii="Calibri" w:hAnsi="Calibri"/>
          <w:spacing w:val="4"/>
          <w:sz w:val="22"/>
          <w:szCs w:val="22"/>
          <w:lang w:val="el-GR"/>
        </w:rPr>
        <w:t xml:space="preserve">το 2016 ήταν 12,9%, </w:t>
      </w:r>
      <w:r w:rsidR="00260731" w:rsidRPr="006D2825">
        <w:rPr>
          <w:rFonts w:ascii="Calibri" w:hAnsi="Calibri"/>
          <w:spacing w:val="4"/>
          <w:sz w:val="22"/>
          <w:szCs w:val="22"/>
          <w:lang w:val="el-GR"/>
        </w:rPr>
        <w:t xml:space="preserve">το 2015 ήταν 14,9%, </w:t>
      </w:r>
      <w:r w:rsidRPr="006D2825">
        <w:rPr>
          <w:rFonts w:ascii="Calibri" w:hAnsi="Calibri"/>
          <w:spacing w:val="4"/>
          <w:sz w:val="22"/>
          <w:szCs w:val="22"/>
          <w:lang w:val="el-GR"/>
        </w:rPr>
        <w:t xml:space="preserve">το 2014 ήταν 16,1%, </w:t>
      </w:r>
      <w:r w:rsidR="00421F8B" w:rsidRPr="006D2825">
        <w:rPr>
          <w:rFonts w:ascii="Calibri" w:hAnsi="Calibri"/>
          <w:spacing w:val="4"/>
          <w:sz w:val="22"/>
          <w:szCs w:val="22"/>
          <w:lang w:val="el-GR"/>
        </w:rPr>
        <w:t>και το</w:t>
      </w:r>
      <w:r w:rsidRPr="006D2825">
        <w:rPr>
          <w:rFonts w:ascii="Calibri" w:hAnsi="Calibri"/>
          <w:spacing w:val="4"/>
          <w:sz w:val="22"/>
          <w:szCs w:val="22"/>
          <w:lang w:val="el-GR"/>
        </w:rPr>
        <w:t xml:space="preserve"> 2013 ήταν 15,9%.</w:t>
      </w:r>
    </w:p>
    <w:p w:rsidR="00313C48" w:rsidRPr="006D2825" w:rsidRDefault="00CC600A" w:rsidP="00767448">
      <w:pPr>
        <w:spacing w:after="240"/>
        <w:jc w:val="both"/>
        <w:rPr>
          <w:rFonts w:ascii="Calibri" w:eastAsia="Calibri" w:hAnsi="Calibri"/>
          <w:b/>
          <w:bCs/>
          <w:spacing w:val="4"/>
          <w:sz w:val="22"/>
          <w:szCs w:val="22"/>
          <w:lang w:val="el-GR"/>
        </w:rPr>
      </w:pPr>
      <w:r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ποσοστό ανεργίας στους νέους 15-24 ετών 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>διαμορφώθηκε</w:t>
      </w:r>
      <w:r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D9318E" w:rsidRPr="006D2825">
        <w:rPr>
          <w:rFonts w:ascii="Calibri" w:eastAsia="Calibri" w:hAnsi="Calibri"/>
          <w:spacing w:val="4"/>
          <w:sz w:val="22"/>
          <w:szCs w:val="22"/>
          <w:lang w:val="el-GR"/>
        </w:rPr>
        <w:t>19,8</w:t>
      </w:r>
      <w:r w:rsidRPr="006D2825">
        <w:rPr>
          <w:rFonts w:ascii="Calibri" w:eastAsia="Calibri" w:hAnsi="Calibri"/>
          <w:spacing w:val="4"/>
          <w:sz w:val="22"/>
          <w:szCs w:val="22"/>
          <w:lang w:val="el-GR"/>
        </w:rPr>
        <w:t>% το</w:t>
      </w:r>
      <w:r w:rsidR="00D9318E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πρώτο τρίμηνο του 2019</w:t>
      </w:r>
      <w:r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, </w:t>
      </w:r>
      <w:r w:rsidRPr="006D2825">
        <w:rPr>
          <w:rFonts w:asciiTheme="minorHAnsi" w:hAnsiTheme="minorHAnsi"/>
          <w:sz w:val="22"/>
          <w:szCs w:val="22"/>
          <w:lang w:val="el-GR"/>
        </w:rPr>
        <w:t xml:space="preserve">παρουσιάζοντας μείωση κατά 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5,5</w:t>
      </w:r>
      <w:r w:rsidRPr="006D2825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 xml:space="preserve">πρώτο τρίμηνο του </w:t>
      </w:r>
      <w:r w:rsidRPr="006D2825">
        <w:rPr>
          <w:rFonts w:asciiTheme="minorHAnsi" w:hAnsiTheme="minorHAnsi"/>
          <w:sz w:val="22"/>
          <w:szCs w:val="22"/>
          <w:lang w:val="el-GR"/>
        </w:rPr>
        <w:t>201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8</w:t>
      </w:r>
      <w:r w:rsidRPr="006D2825">
        <w:rPr>
          <w:rFonts w:asciiTheme="minorHAnsi" w:hAnsiTheme="minorHAnsi"/>
          <w:sz w:val="22"/>
          <w:szCs w:val="22"/>
          <w:lang w:val="el-GR"/>
        </w:rPr>
        <w:t xml:space="preserve"> που ήταν 2</w:t>
      </w:r>
      <w:r w:rsidR="00D9318E" w:rsidRPr="006D2825">
        <w:rPr>
          <w:rFonts w:asciiTheme="minorHAnsi" w:hAnsiTheme="minorHAnsi"/>
          <w:sz w:val="22"/>
          <w:szCs w:val="22"/>
          <w:lang w:val="el-GR"/>
        </w:rPr>
        <w:t>5,3</w:t>
      </w:r>
      <w:r w:rsidRPr="006D2825">
        <w:rPr>
          <w:rFonts w:asciiTheme="minorHAnsi" w:hAnsiTheme="minorHAnsi"/>
          <w:sz w:val="22"/>
          <w:szCs w:val="22"/>
          <w:lang w:val="el-GR"/>
        </w:rPr>
        <w:t>%</w:t>
      </w:r>
      <w:r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. 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Κατά μέσο όρο το ποσοστό ανεργίας στους νέους 15-24 ετών το </w:t>
      </w:r>
      <w:r w:rsidR="00D9318E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2018 ήταν 20,2%, </w:t>
      </w:r>
      <w:r w:rsidR="0031065F" w:rsidRPr="0031065F">
        <w:rPr>
          <w:rFonts w:ascii="Calibri" w:eastAsia="Calibri" w:hAnsi="Calibri"/>
          <w:spacing w:val="4"/>
          <w:sz w:val="22"/>
          <w:szCs w:val="22"/>
          <w:highlight w:val="yellow"/>
          <w:lang w:val="el-GR"/>
        </w:rPr>
        <w:t>το 2017 διαμορφώθηκε στο 24,7%,</w:t>
      </w:r>
      <w:r w:rsidR="0031065F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D9318E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>201</w:t>
      </w:r>
      <w:r w:rsidR="00152E05" w:rsidRPr="006D2825">
        <w:rPr>
          <w:rFonts w:ascii="Calibri" w:eastAsia="Calibri" w:hAnsi="Calibri"/>
          <w:spacing w:val="4"/>
          <w:sz w:val="22"/>
          <w:szCs w:val="22"/>
          <w:lang w:val="el-GR"/>
        </w:rPr>
        <w:t>6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>29,1%</w:t>
      </w:r>
      <w:r w:rsidR="00F500F1" w:rsidRPr="006D2825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260731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2015 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>στο</w:t>
      </w:r>
      <w:r w:rsidR="00CF403A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32,8%</w:t>
      </w:r>
      <w:r w:rsidR="00541011" w:rsidRPr="006D2825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CF403A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>το 2014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36,0% 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 και 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 xml:space="preserve">2013 </w:t>
      </w:r>
      <w:r w:rsidR="00421F8B" w:rsidRPr="006D2825">
        <w:rPr>
          <w:rFonts w:ascii="Calibri" w:eastAsia="Calibri" w:hAnsi="Calibri"/>
          <w:spacing w:val="4"/>
          <w:sz w:val="22"/>
          <w:szCs w:val="22"/>
          <w:lang w:val="el-GR"/>
        </w:rPr>
        <w:t>στο 38,9%</w:t>
      </w:r>
      <w:r w:rsidR="007B0395" w:rsidRPr="006D2825">
        <w:rPr>
          <w:rFonts w:ascii="Calibri" w:eastAsia="Calibri" w:hAnsi="Calibri"/>
          <w:spacing w:val="4"/>
          <w:sz w:val="22"/>
          <w:szCs w:val="22"/>
          <w:lang w:val="el-GR"/>
        </w:rPr>
        <w:t>.</w:t>
      </w:r>
    </w:p>
    <w:p w:rsidR="006951DF" w:rsidRPr="006D2825" w:rsidRDefault="006951DF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9D5A5D" w:rsidRPr="006D2825" w:rsidRDefault="009D5A5D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AE1EF4" w:rsidRPr="00FC35FE" w:rsidRDefault="00AE1EF4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8C5C74" w:rsidRPr="00A45988" w:rsidRDefault="000C1C44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Γ</w:t>
      </w:r>
      <w:r w:rsidR="008C5C74"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.  Εγγεγραμμένη ανεργία </w:t>
      </w:r>
    </w:p>
    <w:p w:rsidR="004C05CF" w:rsidRPr="007E1DC5" w:rsidRDefault="004C05CF" w:rsidP="00C604C3">
      <w:pPr>
        <w:spacing w:after="0" w:line="240" w:lineRule="auto"/>
        <w:rPr>
          <w:rFonts w:asciiTheme="minorHAnsi" w:hAnsiTheme="minorHAnsi" w:cs="Arial"/>
          <w:b/>
          <w:sz w:val="16"/>
          <w:szCs w:val="16"/>
          <w:u w:val="single"/>
          <w:lang w:val="el-GR"/>
        </w:rPr>
      </w:pPr>
    </w:p>
    <w:p w:rsidR="008C5C74" w:rsidRPr="00DB3551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Σύγκριση μεταξύ </w:t>
      </w:r>
      <w:r w:rsidR="001E1CF3">
        <w:rPr>
          <w:rFonts w:asciiTheme="minorHAnsi" w:hAnsiTheme="minorHAnsi" w:cs="Arial"/>
          <w:i/>
          <w:iCs/>
          <w:color w:val="auto"/>
          <w:lang w:val="el-GR"/>
        </w:rPr>
        <w:t>Μαΐου</w:t>
      </w:r>
      <w:r w:rsidR="00385058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396F58" w:rsidRPr="00DB3551">
        <w:rPr>
          <w:rFonts w:asciiTheme="minorHAnsi" w:hAnsiTheme="minorHAnsi" w:cs="Arial"/>
          <w:i/>
          <w:iCs/>
          <w:color w:val="auto"/>
          <w:lang w:val="el-GR"/>
        </w:rPr>
        <w:t>τ</w:t>
      </w:r>
      <w:r w:rsidR="00230259" w:rsidRPr="00DB3551">
        <w:rPr>
          <w:rFonts w:asciiTheme="minorHAnsi" w:hAnsiTheme="minorHAnsi" w:cs="Arial"/>
          <w:i/>
          <w:iCs/>
          <w:color w:val="auto"/>
          <w:lang w:val="el-GR"/>
        </w:rPr>
        <w:t>ου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8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AE7F8E" w:rsidRPr="00DB3551">
        <w:rPr>
          <w:rFonts w:asciiTheme="minorHAnsi" w:hAnsiTheme="minorHAnsi" w:cs="Arial"/>
          <w:i/>
          <w:iCs/>
          <w:color w:val="auto"/>
          <w:lang w:val="el-GR"/>
        </w:rPr>
        <w:t>και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9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(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8C5C74" w:rsidRPr="00A45988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16"/>
          <w:szCs w:val="16"/>
          <w:lang w:val="el-GR"/>
        </w:rPr>
      </w:pPr>
    </w:p>
    <w:p w:rsidR="008C5C74" w:rsidRPr="00A45988" w:rsidRDefault="00750DB9" w:rsidP="00D1317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Μείωση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του αριθμού </w:t>
      </w:r>
      <w:r w:rsidR="006722C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17.607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51331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839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41D5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ν αντίστοιχο μήνα του 201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B3A9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="00B22D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ση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22,9</w:t>
      </w:r>
      <w:r w:rsidR="005C039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6121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5.232</w:t>
      </w:r>
      <w:r w:rsidR="00953C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Επισημαίνεται η συνεχής καθοδική τάση της μηνιαίας εγγεγραμμένης ανεργίας η οποία παρατηρείται για 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περίοδο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τριών χρόνων. </w:t>
      </w:r>
      <w:r w:rsidR="00CE7B4D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</w:p>
    <w:p w:rsidR="00DB660D" w:rsidRPr="00BC5BFC" w:rsidRDefault="00625824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φύλο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ανήλθε 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8.053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γυναικών 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ανήλθε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9.554</w:t>
      </w:r>
      <w:r w:rsidR="002F155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</w:t>
      </w:r>
      <w:r w:rsidR="002C3C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αντρών μειώθηκε κατά </w:t>
      </w:r>
      <w:r w:rsidR="00FF0C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579</w:t>
      </w:r>
      <w:r w:rsidR="002F155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24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γυναικών</w:t>
      </w:r>
      <w:r w:rsidR="00755C8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μειώθηκε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653</w:t>
      </w:r>
      <w:r w:rsidR="00F448B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22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92180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</w:t>
      </w:r>
      <w:r w:rsidR="00146A99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εγγεγραμμένων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ανέργων (σύνολο και κατά φύλο)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BC5BFC" w:rsidRPr="00A45988" w:rsidRDefault="007C4B07" w:rsidP="00BC5BFC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053781" cy="261538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5C74" w:rsidRPr="00241A36" w:rsidRDefault="00ED321E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BE54D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μεγαλύτερη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170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 w:rsidR="00755C8B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μείωση</w:t>
      </w:r>
      <w:r w:rsidR="005B52B7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ις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επαρχί</w:t>
      </w:r>
      <w:r w:rsidR="00294FF9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ες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C913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Λεμεσού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Λευκωσίας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Πάφου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EA2B3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BC5BF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089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A528E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F64D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D4207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48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και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977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αντίστοιχα</w:t>
      </w:r>
      <w:r w:rsidR="0085253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ενώ στην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Λάρνακας</w:t>
      </w:r>
      <w:r w:rsidR="00C9124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 μείωση ήταν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616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στην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επαρχία Αμμοχώστου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ήταν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C4B0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66</w:t>
      </w:r>
      <w:r w:rsidR="001965A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43C9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74677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241A36" w:rsidRPr="00A45988" w:rsidRDefault="007C4B07" w:rsidP="00241A3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053781" cy="2497394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56A0" w:rsidRPr="007968E5" w:rsidRDefault="008C5C74" w:rsidP="00EF56A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="00C01FDA"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515A09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μήνα του 201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στον τομέα των νεοεισερχομένων (κατά </w:t>
      </w:r>
      <w:r w:rsidR="0034149C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4E598E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D40BB5" w:rsidRPr="00515A09">
        <w:rPr>
          <w:rFonts w:asciiTheme="minorHAnsi" w:eastAsia="Times New Roman" w:hAnsiTheme="minorHAnsi" w:cs="Arial"/>
          <w:color w:val="auto"/>
          <w:sz w:val="22"/>
          <w:szCs w:val="22"/>
          <w:lang w:val="el-GR"/>
        </w:rPr>
        <w:t xml:space="preserve">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του Ε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μπορίου (κατά 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1.097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D40BB5" w:rsidRPr="00515A09">
        <w:rPr>
          <w:rFonts w:asciiTheme="minorHAnsi" w:hAnsiTheme="minorHAnsi" w:cs="Arial"/>
          <w:color w:val="auto"/>
          <w:sz w:val="22"/>
          <w:szCs w:val="22"/>
          <w:lang w:val="el-GR"/>
        </w:rPr>
        <w:t>,</w:t>
      </w:r>
      <w:r w:rsidR="009B2FF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Άλλων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Υ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πηρεσιών (κατά 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633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ατασκευών (κατά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76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4E598E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ων Ξενοδοχείων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584</w:t>
      </w:r>
      <w:r w:rsidR="0049311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8E01C4" w:rsidRPr="00664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της Δημόσιας Διοίκησης (κατά 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533</w:t>
      </w:r>
      <w:r w:rsidR="008E01C4" w:rsidRPr="00664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8E01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7C49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="004E598E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τομέα της Μ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εταποίησης (κατά </w:t>
      </w:r>
      <w:r w:rsidR="007A086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80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250A89" w:rsidRPr="00250A8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 παρουσ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ίασε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μόνο 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 τομέα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ς</w:t>
      </w:r>
      <w:r w:rsidR="000738D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Τ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ραπεζών (κατά 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494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  <w:r w:rsidR="008D778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</w:t>
      </w:r>
      <w:r w:rsidR="007A4A0E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7968E5" w:rsidRPr="007968E5" w:rsidRDefault="001E1CF3" w:rsidP="007968E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noProof/>
          <w:lang w:val="el-GR" w:eastAsia="el-GR"/>
        </w:rPr>
        <w:drawing>
          <wp:inline distT="0" distB="0" distL="0" distR="0">
            <wp:extent cx="5211096" cy="2762865"/>
            <wp:effectExtent l="0" t="0" r="889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7103" w:rsidRPr="00A45988" w:rsidRDefault="00267103" w:rsidP="00267103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A45988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</w:t>
      </w:r>
      <w:r w:rsidR="00594C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ανάμεσα </w:t>
      </w:r>
      <w:r w:rsidR="000E03C9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</w:t>
      </w:r>
      <w:r w:rsidR="00B37F4C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νεοεισερχόμενους (κατά 1</w:t>
      </w:r>
      <w:r w:rsidR="00B37F4C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4E598E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493115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4E598E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B37F4C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06F1D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ανειδίκευτους εργάτες (κατά </w:t>
      </w:r>
      <w:r w:rsidR="004E598E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493115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244</w:t>
      </w:r>
      <w:r w:rsidR="00306F1D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594C97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υπαλλήλους υπηρεσιών και 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πωλητές (κατά </w:t>
      </w:r>
      <w:r w:rsidR="00493115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1.094</w:t>
      </w:r>
      <w:r w:rsidR="00594C97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B37F4C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E114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και</w:t>
      </w:r>
      <w:r w:rsidR="009868C4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868C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ειδικευμένους τεχνίτες (κατά </w:t>
      </w:r>
      <w:r w:rsidR="00594C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49311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19</w:t>
      </w:r>
      <w:r w:rsidR="009868C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936B8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</w:t>
      </w:r>
    </w:p>
    <w:p w:rsidR="00931293" w:rsidRPr="00A45988" w:rsidRDefault="001E1CF3" w:rsidP="00493115">
      <w:pPr>
        <w:pStyle w:val="ListParagraph"/>
        <w:spacing w:after="200" w:line="276" w:lineRule="auto"/>
        <w:ind w:left="360"/>
        <w:jc w:val="center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368413" cy="2930013"/>
            <wp:effectExtent l="0" t="0" r="3810" b="38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0BB5" w:rsidRPr="00A45988" w:rsidRDefault="00D40BB5" w:rsidP="00D40BB5">
      <w:pPr>
        <w:ind w:left="360"/>
        <w:jc w:val="center"/>
        <w:rPr>
          <w:rFonts w:asciiTheme="minorHAnsi" w:hAnsiTheme="minorHAnsi" w:cs="Arial"/>
          <w:sz w:val="22"/>
          <w:szCs w:val="22"/>
          <w:lang w:val="el-GR"/>
        </w:rPr>
      </w:pPr>
    </w:p>
    <w:p w:rsidR="009816D4" w:rsidRPr="009E4EDC" w:rsidRDefault="005539CB" w:rsidP="009B686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μειώσεις παρουσιάστηκαν στις 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ηλικιακ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ές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ομάδ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ες</w:t>
      </w:r>
      <w:r w:rsidR="007432FB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D518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30-39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ετών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(μ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είωση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E4ED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E15B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635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BD3B4E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BC5DB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στην ηλικιακή ομάδα </w:t>
      </w:r>
      <w:r w:rsidR="0005302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40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-</w:t>
      </w:r>
      <w:r w:rsidR="0005302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ετών (μείωση κατά </w:t>
      </w:r>
      <w:r w:rsidR="00E15B2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1.034 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άτομα)</w:t>
      </w:r>
      <w:r w:rsidR="00E15B2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,</w:t>
      </w:r>
      <w:r w:rsidR="00FE71B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ηλικιακή ομάδα 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550D26" w:rsidRPr="00550D2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-</w:t>
      </w:r>
      <w:r w:rsidR="00550D26" w:rsidRPr="00550D2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9 ετών (μείωση κατά </w:t>
      </w:r>
      <w:r w:rsidR="00E15B2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982</w:t>
      </w:r>
      <w:r w:rsidR="00FE71B1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FE71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και 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ηλικιακή ομάδα 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25-2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9 ετών (μείωση κατά 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731</w:t>
      </w:r>
      <w:r w:rsidR="008C7DB3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8C7D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8D778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ανέργων 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κατά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ηλικιακ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ή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ομάδ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τους τελευταίους 1</w:t>
      </w:r>
      <w:r w:rsidR="007A4A0E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  <w:r w:rsidR="009816D4" w:rsidRPr="00885B3C">
        <w:rPr>
          <w:noProof/>
          <w:color w:val="auto"/>
          <w:lang w:val="el-GR"/>
        </w:rPr>
        <w:t xml:space="preserve"> </w:t>
      </w:r>
    </w:p>
    <w:p w:rsidR="009E4EDC" w:rsidRPr="00885B3C" w:rsidRDefault="001E1CF3" w:rsidP="003805FF">
      <w:pPr>
        <w:pStyle w:val="ListParagraph"/>
        <w:spacing w:after="200" w:line="276" w:lineRule="auto"/>
        <w:ind w:left="360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338916" cy="2831690"/>
            <wp:effectExtent l="0" t="0" r="0" b="698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686D" w:rsidRPr="0025098B" w:rsidRDefault="009B686D" w:rsidP="009B686D">
      <w:pPr>
        <w:pStyle w:val="ListParagraph"/>
        <w:spacing w:after="200" w:line="276" w:lineRule="auto"/>
        <w:ind w:left="360"/>
        <w:jc w:val="center"/>
        <w:rPr>
          <w:rFonts w:asciiTheme="minorHAnsi" w:hAnsiTheme="minorHAnsi" w:cs="Arial"/>
          <w:b w:val="0"/>
          <w:color w:val="auto"/>
          <w:sz w:val="4"/>
          <w:szCs w:val="4"/>
          <w:lang w:val="el-GR"/>
        </w:rPr>
      </w:pPr>
    </w:p>
    <w:p w:rsidR="008807E0" w:rsidRPr="00EC12F6" w:rsidRDefault="008C5C74" w:rsidP="00FD518D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b w:val="0"/>
          <w:color w:val="auto"/>
          <w:lang w:val="el-GR"/>
        </w:rPr>
      </w:pP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περισσότερο από 6 μήνες έφτασε 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τα</w:t>
      </w:r>
      <w:r w:rsidR="00093F6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EC12F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8</w:t>
      </w:r>
      <w:r w:rsidR="00587267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  <w:r w:rsidR="0063430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300</w:t>
      </w:r>
      <w:r w:rsidR="0040641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(μείωση</w:t>
      </w:r>
      <w:r w:rsidR="007432FB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C85F3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3.</w:t>
      </w:r>
      <w:r w:rsidR="0063430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539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σε σχέση με τον ίδιο μήνα πέρσι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146A99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C85F3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</w:t>
      </w:r>
      <w:r w:rsidR="0063430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7</w:t>
      </w:r>
      <w:r w:rsidR="00C85F3D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,</w:t>
      </w:r>
      <w:r w:rsidR="0063430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CA3B58" w:rsidRPr="009D64AB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</w:t>
      </w:r>
      <w:r w:rsidR="00CA3B58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συνόλου των εγγεγραμμένων ανέργων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D03034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="00A16DD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</w:t>
      </w:r>
      <w:r w:rsidR="00550D26" w:rsidRPr="00550D2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4.</w:t>
      </w:r>
      <w:r w:rsidR="0063430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594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</w:t>
      </w:r>
      <w:r w:rsidR="004B7D26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μείωση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D03034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3.</w:t>
      </w:r>
      <w:r w:rsidR="0063430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262</w:t>
      </w:r>
      <w:r w:rsidR="00093F6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</w:t>
      </w:r>
      <w:r w:rsidR="0017643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 </w:t>
      </w:r>
      <w:r w:rsidR="00634301" w:rsidRPr="00FF6B63">
        <w:rPr>
          <w:rFonts w:asciiTheme="minorHAnsi" w:hAnsiTheme="minorHAnsi" w:cs="Arial"/>
          <w:b w:val="0"/>
          <w:strike/>
          <w:color w:val="auto"/>
          <w:sz w:val="22"/>
          <w:szCs w:val="22"/>
          <w:highlight w:val="yellow"/>
          <w:lang w:val="el-GR"/>
        </w:rPr>
        <w:t>18,5</w:t>
      </w:r>
      <w:r w:rsidR="00DE0AB6" w:rsidRPr="00FF6B63">
        <w:rPr>
          <w:rFonts w:asciiTheme="minorHAnsi" w:hAnsiTheme="minorHAnsi" w:cs="Arial"/>
          <w:b w:val="0"/>
          <w:strike/>
          <w:color w:val="auto"/>
          <w:sz w:val="22"/>
          <w:szCs w:val="22"/>
          <w:highlight w:val="yellow"/>
          <w:lang w:val="el-GR"/>
        </w:rPr>
        <w:t>%</w:t>
      </w:r>
      <w:r w:rsidR="00327E10" w:rsidRPr="00FF6B63">
        <w:rPr>
          <w:rFonts w:asciiTheme="minorHAnsi" w:hAnsiTheme="minorHAnsi" w:cs="Arial"/>
          <w:b w:val="0"/>
          <w:color w:val="auto"/>
          <w:sz w:val="22"/>
          <w:szCs w:val="22"/>
          <w:highlight w:val="yellow"/>
          <w:lang w:val="el-GR"/>
        </w:rPr>
        <w:t xml:space="preserve"> </w:t>
      </w:r>
      <w:r w:rsidR="00FF6B63" w:rsidRPr="00FF6B63">
        <w:rPr>
          <w:rFonts w:asciiTheme="minorHAnsi" w:hAnsiTheme="minorHAnsi" w:cs="Arial"/>
          <w:b w:val="0"/>
          <w:color w:val="auto"/>
          <w:sz w:val="22"/>
          <w:szCs w:val="22"/>
          <w:highlight w:val="yellow"/>
          <w:lang w:val="el-GR"/>
        </w:rPr>
        <w:t>26,1%</w:t>
      </w:r>
      <w:r w:rsidR="00FF6B63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του συνόλου των εγγεγραμμένων ανέργων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 αριθμού των ανέργων κατά διάρκεια εγγραφής τους τελευταίους 1</w:t>
      </w:r>
      <w:r w:rsidR="007A4A0E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EC12F6" w:rsidRPr="00693812" w:rsidRDefault="00EC12F6" w:rsidP="00EC12F6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</w:p>
    <w:p w:rsidR="00693812" w:rsidRPr="00D03034" w:rsidRDefault="001E1CF3" w:rsidP="00693812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99587" cy="293984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07E0" w:rsidRPr="00A45988" w:rsidRDefault="008807E0" w:rsidP="006C77AA">
      <w:pPr>
        <w:ind w:left="360"/>
        <w:jc w:val="center"/>
        <w:rPr>
          <w:rFonts w:asciiTheme="minorHAnsi" w:hAnsiTheme="minorHAnsi" w:cs="Arial"/>
          <w:sz w:val="22"/>
          <w:szCs w:val="22"/>
          <w:lang w:val="el-GR"/>
        </w:rPr>
      </w:pPr>
    </w:p>
    <w:p w:rsidR="00A820F2" w:rsidRPr="00CD22CA" w:rsidRDefault="00A820F2" w:rsidP="00016BD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CD22C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CD22CA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13.066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4,2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Ο αντίστοιχος αριθμός τον ίδιο μήνα πέρσι ήταν 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6.731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3,3</w:t>
      </w:r>
      <w:r w:rsidR="00CD26F5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). Από το σύνολο των ανέργων οι</w:t>
      </w:r>
      <w:r w:rsidR="00866B0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2.334</w:t>
      </w:r>
      <w:r w:rsidR="00BF62DE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Pr="00CD22C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2.554</w:t>
      </w:r>
      <w:r w:rsidR="00D03034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024A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866B07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 του συνόλου των ανέργων</w:t>
      </w:r>
      <w:r w:rsidR="00C85F3D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Σημειώνεται ότι 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αριθμητικές 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μειώσεις σε σύγκριση με τον ίδιο μήνα πέρσι σημε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ιώθηκαν ανάμεσα στους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Ελληνοκυπρίων κατά 3.66</w:t>
      </w:r>
      <w:r w:rsidR="000630E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ή </w:t>
      </w:r>
      <w:r w:rsidR="005825B4" w:rsidRP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21,9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 και των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ατόμων με Καθεστώς Συμπληρωματικής Προστασίας κατά </w:t>
      </w:r>
      <w:r w:rsidR="005825B4" w:rsidRP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769 </w:t>
      </w:r>
      <w:r w:rsidR="000738D1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5825B4" w:rsidRPr="005825B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57.6</w:t>
      </w:r>
      <w:r w:rsidR="002D09CA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812D6C" w:rsidRPr="00CD2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EC12F6" w:rsidRPr="006642CA" w:rsidRDefault="001E1CF3" w:rsidP="00EC12F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358581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1738" w:rsidRPr="00A45988" w:rsidRDefault="00231738" w:rsidP="00231738">
      <w:pPr>
        <w:spacing w:after="0"/>
        <w:ind w:left="720"/>
        <w:jc w:val="both"/>
        <w:rPr>
          <w:rFonts w:ascii="Calibri" w:hAnsi="Calibri" w:cs="Arial"/>
          <w:b/>
          <w:bCs/>
          <w:sz w:val="16"/>
          <w:szCs w:val="16"/>
          <w:lang w:val="el-GR"/>
        </w:rPr>
      </w:pPr>
    </w:p>
    <w:p w:rsidR="00F15D38" w:rsidRPr="00580D1E" w:rsidRDefault="00106145" w:rsidP="000711CF">
      <w:pPr>
        <w:numPr>
          <w:ilvl w:val="0"/>
          <w:numId w:val="1"/>
        </w:numPr>
        <w:spacing w:after="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ι μισοί από τους εγγεγραμμένους άνεργους είναι </w:t>
      </w:r>
      <w:r w:rsidR="00F15D38" w:rsidRPr="00A45988">
        <w:rPr>
          <w:rFonts w:ascii="Calibri" w:hAnsi="Calibri" w:cs="Calibri"/>
          <w:b/>
          <w:sz w:val="22"/>
          <w:szCs w:val="22"/>
          <w:lang w:val="el-GR"/>
        </w:rPr>
        <w:t>απόφοιτοι δευτεροβάθμιας γενικής ή τεχνικής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 εκπαίδευσης με ποσοστό </w:t>
      </w:r>
      <w:r w:rsidR="005825B4">
        <w:rPr>
          <w:rFonts w:ascii="Calibri" w:hAnsi="Calibri" w:cs="Calibri"/>
          <w:sz w:val="22"/>
          <w:szCs w:val="22"/>
          <w:lang w:val="el-GR"/>
        </w:rPr>
        <w:t>48,9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8B708A">
        <w:rPr>
          <w:rFonts w:ascii="Calibri" w:hAnsi="Calibri" w:cs="Calibri"/>
          <w:sz w:val="22"/>
          <w:szCs w:val="22"/>
          <w:lang w:val="el-GR"/>
        </w:rPr>
        <w:t>8</w:t>
      </w:r>
      <w:r w:rsidR="005825B4">
        <w:rPr>
          <w:rFonts w:ascii="Calibri" w:hAnsi="Calibri" w:cs="Calibri"/>
          <w:sz w:val="22"/>
          <w:szCs w:val="22"/>
          <w:lang w:val="el-GR"/>
        </w:rPr>
        <w:t>.603</w:t>
      </w:r>
      <w:r w:rsidR="00F15D38" w:rsidRPr="00A45988">
        <w:rPr>
          <w:rFonts w:ascii="Calibri" w:hAnsi="Calibri" w:cs="Arial"/>
          <w:b/>
          <w:bCs/>
          <w:sz w:val="20"/>
          <w:szCs w:val="20"/>
          <w:lang w:val="el-GR"/>
        </w:rPr>
        <w:t xml:space="preserve"> 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άτομα, ακολουθούν </w:t>
      </w:r>
      <w:r w:rsidR="00EE0D5F" w:rsidRPr="00A45988">
        <w:rPr>
          <w:rFonts w:ascii="Calibri" w:hAnsi="Calibri" w:cs="Calibri"/>
          <w:sz w:val="22"/>
          <w:szCs w:val="22"/>
          <w:lang w:val="el-GR"/>
        </w:rPr>
        <w:t xml:space="preserve">οι απόφοιτοι με </w:t>
      </w:r>
      <w:r w:rsidR="00EE0D5F">
        <w:rPr>
          <w:rFonts w:ascii="Calibri" w:hAnsi="Calibri" w:cs="Calibri"/>
          <w:sz w:val="22"/>
          <w:szCs w:val="22"/>
          <w:lang w:val="el-GR"/>
        </w:rPr>
        <w:t>τριτοβάθμια</w:t>
      </w:r>
      <w:r w:rsidR="00EE0D5F" w:rsidRPr="00A45988">
        <w:rPr>
          <w:rFonts w:ascii="Calibri" w:hAnsi="Calibri" w:cs="Calibri"/>
          <w:sz w:val="22"/>
          <w:szCs w:val="22"/>
          <w:lang w:val="el-GR"/>
        </w:rPr>
        <w:t xml:space="preserve"> εκπαίδευση με </w:t>
      </w:r>
      <w:r w:rsidR="005825B4">
        <w:rPr>
          <w:rFonts w:ascii="Calibri" w:hAnsi="Calibri" w:cs="Calibri"/>
          <w:sz w:val="22"/>
          <w:szCs w:val="22"/>
          <w:lang w:val="el-GR"/>
        </w:rPr>
        <w:t>33,5</w:t>
      </w:r>
      <w:r w:rsidR="00EE0D5F" w:rsidRPr="00A45988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5825B4">
        <w:rPr>
          <w:rFonts w:ascii="Calibri" w:hAnsi="Calibri" w:cs="Calibri"/>
          <w:sz w:val="22"/>
          <w:szCs w:val="22"/>
          <w:lang w:val="el-GR"/>
        </w:rPr>
        <w:t>5.896</w:t>
      </w:r>
      <w:r w:rsidR="00EE0D5F" w:rsidRPr="00A45988">
        <w:rPr>
          <w:rFonts w:ascii="Calibri" w:hAnsi="Calibri" w:cs="Calibri"/>
          <w:sz w:val="22"/>
          <w:szCs w:val="22"/>
          <w:lang w:val="el-GR"/>
        </w:rPr>
        <w:t xml:space="preserve"> άτομα και 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οι απόφοιτοι </w:t>
      </w:r>
      <w:r w:rsidRPr="00A45988">
        <w:rPr>
          <w:rFonts w:ascii="Calibri" w:hAnsi="Calibri" w:cs="Calibri"/>
          <w:sz w:val="22"/>
          <w:szCs w:val="22"/>
          <w:lang w:val="el-GR"/>
        </w:rPr>
        <w:t>πρωτοβάθμια</w:t>
      </w:r>
      <w:r>
        <w:rPr>
          <w:rFonts w:ascii="Calibri" w:hAnsi="Calibri" w:cs="Calibri"/>
          <w:sz w:val="22"/>
          <w:szCs w:val="22"/>
          <w:lang w:val="el-GR"/>
        </w:rPr>
        <w:t>ς</w:t>
      </w:r>
      <w:r w:rsidRPr="00A45988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εκπαίδευσης με ποσοστό </w:t>
      </w:r>
      <w:r w:rsidR="005825B4">
        <w:rPr>
          <w:rFonts w:ascii="Calibri" w:hAnsi="Calibri" w:cs="Calibri"/>
          <w:sz w:val="22"/>
          <w:szCs w:val="22"/>
          <w:lang w:val="el-GR"/>
        </w:rPr>
        <w:t>17,7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5825B4">
        <w:rPr>
          <w:rFonts w:ascii="Calibri" w:hAnsi="Calibri" w:cs="Calibri"/>
          <w:sz w:val="22"/>
          <w:szCs w:val="22"/>
          <w:lang w:val="el-GR"/>
        </w:rPr>
        <w:t>3.108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0711CF" w:rsidRPr="00A45988">
        <w:rPr>
          <w:rFonts w:ascii="Calibri" w:hAnsi="Calibri" w:cs="Calibri"/>
          <w:sz w:val="22"/>
          <w:szCs w:val="22"/>
          <w:lang w:val="el-GR"/>
        </w:rPr>
        <w:t>.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 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580D1E" w:rsidRPr="00EC12F6" w:rsidRDefault="00580D1E" w:rsidP="00580D1E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EC12F6" w:rsidRPr="00A45988" w:rsidRDefault="00493115" w:rsidP="00EC12F6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220929" cy="2812026"/>
            <wp:effectExtent l="0" t="0" r="0" b="762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2CB1" w:rsidRPr="00A45988" w:rsidRDefault="00CC2CB1" w:rsidP="00CC2CB1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9D57FF" w:rsidRDefault="009D57FF" w:rsidP="004B60F9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</w:p>
    <w:p w:rsidR="000630E7" w:rsidRDefault="000630E7" w:rsidP="004B60F9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</w:p>
    <w:p w:rsidR="008C5C74" w:rsidRPr="00E72FBA" w:rsidRDefault="008C5C74" w:rsidP="004B60F9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Σύγκριση μεταξύ</w:t>
      </w:r>
      <w:r w:rsidR="00E26A1D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EE0D5F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Απριλίου</w:t>
      </w:r>
      <w:r w:rsidR="008C4F54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και Μαΐου</w:t>
      </w:r>
      <w:r w:rsidR="00F326E0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12440D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2019</w:t>
      </w:r>
      <w:r w:rsidR="004C05CF"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(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E72FBA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213E1E" w:rsidRPr="00E72FBA" w:rsidRDefault="007D13B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</w:t>
      </w:r>
      <w:r w:rsidR="00AB2DF7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="004E1B77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Μάιο</w:t>
      </w:r>
      <w:r w:rsidR="0083184C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του</w:t>
      </w:r>
      <w:r w:rsidR="009F1027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201</w:t>
      </w:r>
      <w:r w:rsidR="0011587C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9</w:t>
      </w:r>
      <w:r w:rsidR="008C5C74" w:rsidRPr="00E72FBA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μειώθηκ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DB7E9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2.708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σε σύ</w:t>
      </w:r>
      <w:r w:rsidR="00D0781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γκριση με τον προηγού</w:t>
      </w:r>
      <w:r w:rsidR="00D0781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>μενο μήνα</w:t>
      </w:r>
      <w:r w:rsidR="00213E1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8C5C74" w:rsidRPr="00E72FBA" w:rsidRDefault="00213E1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φύλο οι άντρες 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μειώθ</w:t>
      </w:r>
      <w:r w:rsidR="00AE52D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ηκαν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DB7E9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1.390</w:t>
      </w:r>
      <w:r w:rsidR="00185232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4667D5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γυναίκες</w:t>
      </w:r>
      <w:r w:rsidR="00937CC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DB7E9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1.318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</w:t>
      </w:r>
      <w:r w:rsidR="008C5C7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7D13BE" w:rsidRPr="00E72FBA" w:rsidRDefault="00E4611D" w:rsidP="0083184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ηλικία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D13B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παρουσ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ιάστηκ</w:t>
      </w:r>
      <w:r w:rsidR="00372D8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ην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ηλικιακ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ή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ομάδ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</w:t>
      </w:r>
      <w:r w:rsidR="0011587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0E4E3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χρονών κατά </w:t>
      </w:r>
      <w:r w:rsidR="00DB7E9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668</w:t>
      </w:r>
      <w:r w:rsidR="00FA5CD7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E4E3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CE1626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DF2F2A" w:rsidRPr="00E72FBA" w:rsidRDefault="001B429A" w:rsidP="00DF2F2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μειώσεις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παρατηρήθηκ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04FB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ανάμεσα </w:t>
      </w:r>
      <w:r w:rsidR="008D6B6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Ελληνοκυπρίους κατά </w:t>
      </w:r>
      <w:r w:rsidR="00DB7E9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1.363</w:t>
      </w:r>
      <w:r w:rsidR="008D6B6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και </w:t>
      </w:r>
      <w:r w:rsidR="009602C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Ευρωπαίους κατά </w:t>
      </w:r>
      <w:r w:rsidR="00DB7E9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945</w:t>
      </w:r>
      <w:r w:rsidR="008D6B6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DF2F2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2376C6" w:rsidRPr="00E72FBA" w:rsidRDefault="00A330ED" w:rsidP="0070207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διάρκεια ανεργίας,</w:t>
      </w:r>
      <w:r w:rsidR="00E26A1D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85232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185232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ες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</w:t>
      </w:r>
      <w:r w:rsidR="00185232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ιώσεις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</w:t>
      </w:r>
      <w:r w:rsidR="00185232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</w:t>
      </w:r>
      <w:r w:rsidR="00114EB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αριθμό των ανέργων με διάρκεια ανεργίας </w:t>
      </w:r>
      <w:r w:rsidR="00EE0D5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 μέχρι 6 μήνες</w:t>
      </w:r>
      <w:r w:rsidR="001F6057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E72FB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2.376</w:t>
      </w:r>
      <w:r w:rsidR="00A83B25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185232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και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 διάρκεια ανεργίας </w:t>
      </w:r>
      <w:r w:rsidR="00EE0D5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15 μέρες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μέχρι </w:t>
      </w:r>
      <w:r w:rsidR="00EE0D5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3 </w:t>
      </w:r>
      <w:r w:rsidR="00F326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μήνες κατά </w:t>
      </w:r>
      <w:r w:rsidR="00E72FB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553</w:t>
      </w:r>
      <w:r w:rsidR="00185232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E4611D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7928A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3A143C" w:rsidRPr="00E72FBA" w:rsidRDefault="008C5C74" w:rsidP="008954B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</w:t>
      </w:r>
      <w:r w:rsidR="00B261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9F593E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</w:t>
      </w:r>
      <w:r w:rsidR="0049369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μεγαλύτερ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B12A2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354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="00E26A1D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B261E0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παρατηρήθηκ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3A0461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954BD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ανάμεσα στον 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τομέα</w:t>
      </w:r>
      <w:r w:rsidR="0045561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A02F2D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των ξενοδοχείων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E72FBA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1.564</w:t>
      </w:r>
      <w:r w:rsidR="008249B3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</w:t>
      </w:r>
      <w:r w:rsidR="008954BD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  <w:r w:rsidR="00376EE9" w:rsidRPr="00E72FBA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</w:p>
    <w:p w:rsidR="00E52C8A" w:rsidRPr="00E72FBA" w:rsidRDefault="00493145" w:rsidP="005D57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επαρχία,</w:t>
      </w:r>
      <w:r w:rsidR="006141B3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354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="00A22E58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2719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καταγράφηκ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F2719F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επαρχία </w:t>
      </w:r>
      <w:r w:rsidR="00A02F2D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Αμμοχώστου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E72FBA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1.460</w:t>
      </w:r>
      <w:r w:rsidR="00376EE9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F81F44" w:rsidRPr="00E72FB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 </w:t>
      </w:r>
    </w:p>
    <w:p w:rsidR="00970308" w:rsidRPr="00A45988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EB5DF5" w:rsidRPr="0031065F" w:rsidRDefault="00EB5DF5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8C5C74" w:rsidRPr="00685E37" w:rsidRDefault="008C5C74" w:rsidP="00E52C8A">
      <w:pPr>
        <w:spacing w:after="0" w:line="240" w:lineRule="auto"/>
        <w:rPr>
          <w:rFonts w:asciiTheme="minorHAnsi" w:hAnsiTheme="minorHAnsi" w:cs="Arial"/>
          <w:b/>
          <w:i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Νέες Εγγραφές</w:t>
      </w:r>
      <w:r w:rsidRPr="00685E37">
        <w:rPr>
          <w:rStyle w:val="FootnoteReference"/>
          <w:rFonts w:asciiTheme="minorHAnsi" w:hAnsiTheme="minorHAnsi" w:cs="Arial"/>
          <w:b/>
          <w:i/>
          <w:iCs/>
          <w:sz w:val="22"/>
          <w:szCs w:val="22"/>
          <w:lang w:val="el-GR"/>
        </w:rPr>
        <w:footnoteReference w:id="3"/>
      </w:r>
      <w:r w:rsidR="00380805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 </w:t>
      </w: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Ανέργων κατά Επαρχία </w:t>
      </w:r>
      <w:r w:rsidR="00F47DA6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και μήνα</w:t>
      </w:r>
    </w:p>
    <w:p w:rsidR="006642CA" w:rsidRPr="00D06EFF" w:rsidRDefault="006642CA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</w:p>
    <w:p w:rsidR="00380805" w:rsidRPr="00685E37" w:rsidRDefault="00380805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iCs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970308" w:rsidRPr="006642CA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6642CA" w:rsidRPr="006642CA" w:rsidRDefault="006642CA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D36186" w:rsidRPr="00685E37" w:rsidRDefault="00D36186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tbl>
      <w:tblPr>
        <w:tblW w:w="7273" w:type="dxa"/>
        <w:jc w:val="center"/>
        <w:tblInd w:w="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44"/>
        <w:gridCol w:w="1843"/>
        <w:gridCol w:w="1843"/>
        <w:gridCol w:w="1843"/>
      </w:tblGrid>
      <w:tr w:rsidR="00DB7E90" w:rsidRPr="00685E37" w:rsidTr="00736D19">
        <w:trPr>
          <w:trHeight w:val="98"/>
          <w:jc w:val="center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90" w:rsidRPr="00685E37" w:rsidRDefault="00DB7E90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685E37" w:rsidRDefault="00DB7E90" w:rsidP="00B0454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Μάρτιος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685E37" w:rsidRDefault="00DB7E90" w:rsidP="00B0454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Απρίλιος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685E37" w:rsidRDefault="00CC00ED" w:rsidP="0012440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Μάιος </w:t>
            </w:r>
            <w:r w:rsidR="00DB7E90"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 w:rsidR="00DB7E90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</w:tr>
      <w:tr w:rsidR="00DB7E90" w:rsidRPr="00685E37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90" w:rsidRPr="00685E37" w:rsidRDefault="00DB7E90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685E37">
              <w:rPr>
                <w:rFonts w:asciiTheme="minorHAnsi" w:hAnsiTheme="minorHAnsi" w:cs="Arial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DB7E90" w:rsidP="00B0454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504D65" w:rsidP="00B0454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</w:t>
            </w:r>
            <w:r w:rsidR="00DB7E90">
              <w:rPr>
                <w:rFonts w:asciiTheme="minorHAnsi" w:hAnsiTheme="minorHAnsi" w:cs="Arial"/>
                <w:sz w:val="22"/>
                <w:szCs w:val="22"/>
                <w:lang w:val="el-GR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504D65" w:rsidRDefault="00504D65" w:rsidP="00504D6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1760</w:t>
            </w:r>
          </w:p>
        </w:tc>
      </w:tr>
      <w:tr w:rsidR="00DB7E90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90" w:rsidRPr="00A45988" w:rsidRDefault="00DB7E90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DB7E90" w:rsidP="00B04543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DB7E90" w:rsidP="00B04543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504D65" w:rsidP="008749A5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696</w:t>
            </w:r>
          </w:p>
        </w:tc>
      </w:tr>
      <w:tr w:rsidR="00DB7E90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90" w:rsidRPr="00A45988" w:rsidRDefault="00DB7E90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DB7E90" w:rsidP="00B04543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DB7E90" w:rsidP="00B04543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E72FBA" w:rsidP="00A3545D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238</w:t>
            </w:r>
          </w:p>
        </w:tc>
      </w:tr>
      <w:tr w:rsidR="00DB7E90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90" w:rsidRPr="00A45988" w:rsidRDefault="00DB7E90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DB7E90" w:rsidP="00B0454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DB7E90" w:rsidP="00504D6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504D65" w:rsidP="006A703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1390</w:t>
            </w:r>
          </w:p>
        </w:tc>
      </w:tr>
      <w:tr w:rsidR="00DB7E90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90" w:rsidRPr="00A45988" w:rsidRDefault="00DB7E90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DB7E90" w:rsidP="00B0454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DB7E90" w:rsidP="00B0454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90" w:rsidRPr="00F93432" w:rsidRDefault="00504D65" w:rsidP="008749A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593</w:t>
            </w:r>
          </w:p>
        </w:tc>
      </w:tr>
      <w:tr w:rsidR="00DB7E90" w:rsidRPr="00A45988" w:rsidTr="00736D19">
        <w:trPr>
          <w:trHeight w:val="348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90" w:rsidRPr="00A45988" w:rsidRDefault="00DB7E90" w:rsidP="002C37DD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7E90" w:rsidRPr="00F93432" w:rsidRDefault="00DB7E90" w:rsidP="00B0454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4.269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7E90" w:rsidRPr="00F93432" w:rsidRDefault="00DB7E90" w:rsidP="00B04543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4.133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7E90" w:rsidRPr="00F93432" w:rsidRDefault="00E72FBA" w:rsidP="00F93432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4.677</w:t>
            </w:r>
          </w:p>
        </w:tc>
      </w:tr>
    </w:tbl>
    <w:p w:rsidR="007F7A1F" w:rsidRPr="00A45988" w:rsidRDefault="007F7A1F" w:rsidP="00235E23">
      <w:pPr>
        <w:pStyle w:val="FootnoteText"/>
        <w:spacing w:after="0"/>
        <w:jc w:val="both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38774F" w:rsidRPr="00A45988" w:rsidRDefault="0038774F" w:rsidP="00467BD3">
      <w:pPr>
        <w:pStyle w:val="FootnoteText"/>
        <w:spacing w:after="0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6642CA" w:rsidRPr="000C12CF" w:rsidRDefault="006642CA" w:rsidP="00467BD3">
      <w:pPr>
        <w:pStyle w:val="FootnoteText"/>
        <w:spacing w:after="0"/>
        <w:rPr>
          <w:rFonts w:asciiTheme="minorHAnsi" w:hAnsiTheme="minorHAnsi" w:cs="Arial"/>
          <w:b/>
          <w:bCs/>
          <w:sz w:val="24"/>
          <w:szCs w:val="24"/>
          <w:lang w:val="el-GR"/>
        </w:rPr>
      </w:pPr>
    </w:p>
    <w:p w:rsidR="008C5C74" w:rsidRPr="00A45988" w:rsidRDefault="0006436B" w:rsidP="00467BD3">
      <w:pPr>
        <w:pStyle w:val="FootnoteText"/>
        <w:spacing w:after="0"/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A057AC">
        <w:rPr>
          <w:rFonts w:asciiTheme="minorHAnsi" w:hAnsiTheme="minorHAnsi" w:cs="Arial"/>
          <w:b/>
          <w:bCs/>
          <w:sz w:val="24"/>
          <w:szCs w:val="24"/>
          <w:lang w:val="el-GR"/>
        </w:rPr>
        <w:t>Ιουνίου</w:t>
      </w: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4D2922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201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>9</w:t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EB1A35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7745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0A7DCA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2C6A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ΠΑΡΑΤΗΡΗΤΗΡΙΟ </w:t>
      </w:r>
      <w:r w:rsidR="00EB1A35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ΑΓΟΡΑΣ ΕΡΓΑΣΙΑΣ</w:t>
      </w:r>
    </w:p>
    <w:p w:rsidR="002004B1" w:rsidRDefault="00D96911" w:rsidP="008508C7">
      <w:pPr>
        <w:pStyle w:val="FootnoteText"/>
        <w:spacing w:after="0"/>
        <w:ind w:left="5760" w:firstLine="720"/>
        <w:jc w:val="center"/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ΤΜΗΜΑ ΕΡΓΑΣΙΑΣ </w:t>
      </w:r>
    </w:p>
    <w:p w:rsidR="00A057AC" w:rsidRDefault="00A057AC" w:rsidP="00A057AC">
      <w:pPr>
        <w:pStyle w:val="FootnoteText"/>
        <w:spacing w:after="0"/>
        <w:rPr>
          <w:rFonts w:asciiTheme="minorHAnsi" w:hAnsiTheme="minorHAnsi" w:cs="Arial"/>
          <w:b/>
          <w:bCs/>
          <w:sz w:val="24"/>
          <w:szCs w:val="24"/>
          <w:lang w:val="el-GR"/>
        </w:rPr>
      </w:pPr>
    </w:p>
    <w:p w:rsidR="00A057AC" w:rsidRPr="00A057AC" w:rsidRDefault="00A057AC" w:rsidP="00A057AC">
      <w:pPr>
        <w:pStyle w:val="FootnoteText"/>
        <w:spacing w:after="0"/>
        <w:rPr>
          <w:rFonts w:asciiTheme="minorHAnsi" w:hAnsiTheme="minorHAnsi" w:cs="Arial"/>
          <w:bCs/>
          <w:lang w:val="el-GR"/>
        </w:rPr>
      </w:pPr>
    </w:p>
    <w:p w:rsidR="002D3E45" w:rsidRDefault="002D3E45" w:rsidP="00A057AC">
      <w:pPr>
        <w:pStyle w:val="FootnoteText"/>
        <w:spacing w:after="0"/>
        <w:rPr>
          <w:rFonts w:asciiTheme="minorHAnsi" w:hAnsiTheme="minorHAnsi" w:cs="Arial"/>
          <w:bCs/>
          <w:lang w:val="el-GR"/>
        </w:rPr>
      </w:pPr>
    </w:p>
    <w:p w:rsidR="006228A5" w:rsidRDefault="006228A5" w:rsidP="00A057AC">
      <w:pPr>
        <w:pStyle w:val="FootnoteText"/>
        <w:spacing w:after="0"/>
        <w:rPr>
          <w:rFonts w:asciiTheme="minorHAnsi" w:hAnsiTheme="minorHAnsi" w:cs="Arial"/>
          <w:bCs/>
          <w:sz w:val="16"/>
          <w:szCs w:val="16"/>
          <w:lang w:val="el-GR"/>
        </w:rPr>
      </w:pPr>
    </w:p>
    <w:p w:rsidR="00A057AC" w:rsidRPr="006228A5" w:rsidRDefault="00A057AC" w:rsidP="00A057AC">
      <w:pPr>
        <w:pStyle w:val="FootnoteText"/>
        <w:spacing w:after="0"/>
        <w:rPr>
          <w:rFonts w:asciiTheme="minorHAnsi" w:hAnsiTheme="minorHAnsi" w:cs="Arial"/>
          <w:sz w:val="16"/>
          <w:szCs w:val="16"/>
        </w:rPr>
      </w:pPr>
      <w:r w:rsidRPr="006228A5">
        <w:rPr>
          <w:rFonts w:asciiTheme="minorHAnsi" w:hAnsiTheme="minorHAnsi" w:cs="Arial"/>
          <w:bCs/>
          <w:sz w:val="16"/>
          <w:szCs w:val="16"/>
          <w:lang w:val="el-GR"/>
        </w:rPr>
        <w:t>ΜΡη</w:t>
      </w:r>
      <w:r w:rsidRPr="006228A5">
        <w:rPr>
          <w:rFonts w:asciiTheme="minorHAnsi" w:hAnsiTheme="minorHAnsi" w:cs="Arial"/>
          <w:bCs/>
          <w:sz w:val="16"/>
          <w:szCs w:val="16"/>
        </w:rPr>
        <w:t xml:space="preserve">, </w:t>
      </w:r>
      <w:fldSimple w:instr=" FILENAME  \p  \* MERGEFORMAT ">
        <w:r w:rsidRPr="006228A5">
          <w:rPr>
            <w:rFonts w:asciiTheme="minorHAnsi" w:hAnsiTheme="minorHAnsi" w:cs="Arial"/>
            <w:bCs/>
            <w:noProof/>
            <w:sz w:val="16"/>
            <w:szCs w:val="16"/>
          </w:rPr>
          <w:t>C:\Users\Administrator\M RIGOU\</w:t>
        </w:r>
        <w:r w:rsidRPr="006228A5">
          <w:rPr>
            <w:rFonts w:asciiTheme="minorHAnsi" w:hAnsiTheme="minorHAnsi" w:cs="Arial"/>
            <w:bCs/>
            <w:noProof/>
            <w:sz w:val="16"/>
            <w:szCs w:val="16"/>
            <w:lang w:val="el-GR"/>
          </w:rPr>
          <w:t>Ανεργία</w:t>
        </w:r>
        <w:r w:rsidRPr="006228A5">
          <w:rPr>
            <w:rFonts w:asciiTheme="minorHAnsi" w:hAnsiTheme="minorHAnsi" w:cs="Arial"/>
            <w:bCs/>
            <w:noProof/>
            <w:sz w:val="16"/>
            <w:szCs w:val="16"/>
          </w:rPr>
          <w:t xml:space="preserve"> - </w:t>
        </w:r>
        <w:r w:rsidRPr="006228A5">
          <w:rPr>
            <w:rFonts w:asciiTheme="minorHAnsi" w:hAnsiTheme="minorHAnsi" w:cs="Arial"/>
            <w:bCs/>
            <w:noProof/>
            <w:sz w:val="16"/>
            <w:szCs w:val="16"/>
            <w:lang w:val="el-GR"/>
          </w:rPr>
          <w:t>Μηνιαίες</w:t>
        </w:r>
        <w:r w:rsidRPr="006228A5">
          <w:rPr>
            <w:rFonts w:asciiTheme="minorHAnsi" w:hAnsiTheme="minorHAnsi" w:cs="Arial"/>
            <w:bCs/>
            <w:noProof/>
            <w:sz w:val="16"/>
            <w:szCs w:val="16"/>
          </w:rPr>
          <w:t xml:space="preserve"> </w:t>
        </w:r>
        <w:r w:rsidRPr="006228A5">
          <w:rPr>
            <w:rFonts w:asciiTheme="minorHAnsi" w:hAnsiTheme="minorHAnsi" w:cs="Arial"/>
            <w:bCs/>
            <w:noProof/>
            <w:sz w:val="16"/>
            <w:szCs w:val="16"/>
            <w:lang w:val="el-GR"/>
          </w:rPr>
          <w:t>Εκθέσεις</w:t>
        </w:r>
        <w:r w:rsidRPr="006228A5">
          <w:rPr>
            <w:rFonts w:asciiTheme="minorHAnsi" w:hAnsiTheme="minorHAnsi" w:cs="Arial"/>
            <w:bCs/>
            <w:noProof/>
            <w:sz w:val="16"/>
            <w:szCs w:val="16"/>
          </w:rPr>
          <w:t>\2019 registered unemployed - monthly figures\May 2019\Reports\</w:t>
        </w:r>
        <w:r w:rsidRPr="006228A5">
          <w:rPr>
            <w:rFonts w:asciiTheme="minorHAnsi" w:hAnsiTheme="minorHAnsi" w:cs="Arial"/>
            <w:bCs/>
            <w:noProof/>
            <w:sz w:val="16"/>
            <w:szCs w:val="16"/>
            <w:lang w:val="el-GR"/>
          </w:rPr>
          <w:t>ΠΡΟΚΑΤ</w:t>
        </w:r>
        <w:r w:rsidRPr="006228A5">
          <w:rPr>
            <w:rFonts w:asciiTheme="minorHAnsi" w:hAnsiTheme="minorHAnsi" w:cs="Arial"/>
            <w:bCs/>
            <w:noProof/>
            <w:sz w:val="16"/>
            <w:szCs w:val="16"/>
          </w:rPr>
          <w:t xml:space="preserve"> </w:t>
        </w:r>
        <w:r w:rsidRPr="006228A5">
          <w:rPr>
            <w:rFonts w:asciiTheme="minorHAnsi" w:hAnsiTheme="minorHAnsi" w:cs="Arial"/>
            <w:bCs/>
            <w:noProof/>
            <w:sz w:val="16"/>
            <w:szCs w:val="16"/>
            <w:lang w:val="el-GR"/>
          </w:rPr>
          <w:t>ΣΤΟΙΧΕΙΑ</w:t>
        </w:r>
        <w:r w:rsidRPr="006228A5">
          <w:rPr>
            <w:rFonts w:asciiTheme="minorHAnsi" w:hAnsiTheme="minorHAnsi" w:cs="Arial"/>
            <w:bCs/>
            <w:noProof/>
            <w:sz w:val="16"/>
            <w:szCs w:val="16"/>
          </w:rPr>
          <w:t xml:space="preserve"> </w:t>
        </w:r>
        <w:r w:rsidRPr="006228A5">
          <w:rPr>
            <w:rFonts w:asciiTheme="minorHAnsi" w:hAnsiTheme="minorHAnsi" w:cs="Arial"/>
            <w:bCs/>
            <w:noProof/>
            <w:sz w:val="16"/>
            <w:szCs w:val="16"/>
            <w:lang w:val="el-GR"/>
          </w:rPr>
          <w:t>ΥΠΟΥΡΓΟΥ</w:t>
        </w:r>
        <w:r w:rsidRPr="006228A5">
          <w:rPr>
            <w:rFonts w:asciiTheme="minorHAnsi" w:hAnsiTheme="minorHAnsi" w:cs="Arial"/>
            <w:bCs/>
            <w:noProof/>
            <w:sz w:val="16"/>
            <w:szCs w:val="16"/>
          </w:rPr>
          <w:t xml:space="preserve"> May 2019.docx</w:t>
        </w:r>
      </w:fldSimple>
    </w:p>
    <w:sectPr w:rsidR="00A057AC" w:rsidRPr="006228A5" w:rsidSect="004C05CF">
      <w:footerReference w:type="default" r:id="rId16"/>
      <w:pgSz w:w="11909" w:h="16834" w:code="9"/>
      <w:pgMar w:top="993" w:right="1080" w:bottom="1440" w:left="1080" w:header="720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72" w:rsidRDefault="00A61E72">
      <w:pPr>
        <w:spacing w:after="0" w:line="240" w:lineRule="auto"/>
      </w:pPr>
      <w:r>
        <w:separator/>
      </w:r>
    </w:p>
  </w:endnote>
  <w:endnote w:type="continuationSeparator" w:id="0">
    <w:p w:rsidR="00A61E72" w:rsidRDefault="00A6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0C" w:rsidRDefault="004868A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8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0D2">
      <w:rPr>
        <w:rStyle w:val="PageNumber"/>
        <w:noProof/>
      </w:rPr>
      <w:t>4</w:t>
    </w:r>
    <w:r>
      <w:rPr>
        <w:rStyle w:val="PageNumber"/>
      </w:rPr>
      <w:fldChar w:fldCharType="end"/>
    </w:r>
  </w:p>
  <w:p w:rsidR="00DF580C" w:rsidRDefault="00DF58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72" w:rsidRDefault="00A61E72">
      <w:pPr>
        <w:spacing w:after="0" w:line="240" w:lineRule="auto"/>
      </w:pPr>
      <w:r>
        <w:separator/>
      </w:r>
    </w:p>
  </w:footnote>
  <w:footnote w:type="continuationSeparator" w:id="0">
    <w:p w:rsidR="00A61E72" w:rsidRDefault="00A61E72">
      <w:pPr>
        <w:spacing w:after="0" w:line="240" w:lineRule="auto"/>
      </w:pPr>
      <w:r>
        <w:continuationSeparator/>
      </w:r>
    </w:p>
  </w:footnote>
  <w:footnote w:id="1">
    <w:p w:rsidR="006C207E" w:rsidRPr="00260731" w:rsidRDefault="00DF580C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</w:rPr>
        <w:footnoteRef/>
      </w:r>
      <w:r w:rsidRPr="00887DBA">
        <w:rPr>
          <w:rFonts w:ascii="Arial" w:hAnsi="Arial" w:cs="Arial"/>
          <w:sz w:val="18"/>
          <w:lang w:val="el-GR"/>
        </w:rPr>
        <w:t xml:space="preserve">  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Pr="00260731">
        <w:rPr>
          <w:rFonts w:asciiTheme="minorHAnsi" w:hAnsiTheme="minorHAnsi" w:cstheme="minorHAnsi"/>
          <w:sz w:val="18"/>
        </w:rPr>
        <w:t>EUROSTAT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Αφορά σε ανεργία 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που υπολογίστηκε αξιοποιώντας </w:t>
      </w:r>
      <w:r w:rsidRPr="00260731">
        <w:rPr>
          <w:rFonts w:asciiTheme="minorHAnsi" w:hAnsiTheme="minorHAnsi" w:cstheme="minorHAnsi"/>
          <w:sz w:val="18"/>
          <w:lang w:val="el-GR"/>
        </w:rPr>
        <w:t>την Έρευνα Εργατικού Δυναμικού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 και τα στατιστικά στοιχεία της Εγγεγραμμένης ανεργίας</w:t>
      </w:r>
      <w:r w:rsidRPr="00260731">
        <w:rPr>
          <w:rFonts w:asciiTheme="minorHAnsi" w:hAnsiTheme="minorHAnsi" w:cstheme="minorHAnsi"/>
          <w:sz w:val="18"/>
          <w:lang w:val="el-GR"/>
        </w:rPr>
        <w:t>. Τα στοιχεία είναι διαθέσιμα με ένα μήνα καθυστέρηση.</w:t>
      </w:r>
      <w:r w:rsidR="006D2825">
        <w:rPr>
          <w:rFonts w:asciiTheme="minorHAnsi" w:hAnsiTheme="minorHAnsi" w:cstheme="minorHAnsi"/>
          <w:sz w:val="18"/>
          <w:lang w:val="el-GR"/>
        </w:rPr>
        <w:t xml:space="preserve"> Δεν υπάρχουν νεότερα στοιχεία.</w:t>
      </w:r>
      <w:bookmarkStart w:id="0" w:name="_GoBack"/>
      <w:bookmarkEnd w:id="0"/>
      <w:r w:rsidR="006D2825">
        <w:rPr>
          <w:rFonts w:asciiTheme="minorHAnsi" w:hAnsiTheme="minorHAnsi" w:cstheme="minorHAnsi"/>
          <w:sz w:val="18"/>
          <w:lang w:val="el-GR"/>
        </w:rPr>
        <w:t xml:space="preserve"> </w:t>
      </w:r>
    </w:p>
  </w:footnote>
  <w:footnote w:id="2">
    <w:p w:rsidR="000C1C44" w:rsidRPr="00260731" w:rsidRDefault="000C1C44" w:rsidP="000C1C44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260731">
        <w:rPr>
          <w:rStyle w:val="FootnoteReference"/>
          <w:rFonts w:asciiTheme="minorHAnsi" w:hAnsiTheme="minorHAnsi" w:cstheme="minorHAnsi"/>
          <w:sz w:val="18"/>
        </w:rPr>
        <w:footnoteRef/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="003E2428" w:rsidRPr="00260731">
        <w:rPr>
          <w:rFonts w:asciiTheme="minorHAnsi" w:hAnsiTheme="minorHAnsi" w:cstheme="minorHAnsi"/>
          <w:sz w:val="18"/>
          <w:lang w:val="el-GR"/>
        </w:rPr>
        <w:t>Στατιστική Υπηρεσία της Κυπριακής Δημοκρατίας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</w:t>
      </w:r>
      <w:r w:rsidR="003E2428" w:rsidRPr="00260731">
        <w:rPr>
          <w:rFonts w:asciiTheme="minorHAnsi" w:hAnsiTheme="minorHAnsi" w:cstheme="minorHAnsi"/>
          <w:sz w:val="18"/>
          <w:lang w:val="el-GR"/>
        </w:rPr>
        <w:t>Κυριότερα Αποτελέσματα ,</w:t>
      </w:r>
      <w:r w:rsidR="00CE63FC" w:rsidRPr="00260731">
        <w:rPr>
          <w:rFonts w:asciiTheme="minorHAnsi" w:hAnsiTheme="minorHAnsi" w:cstheme="minorHAnsi"/>
          <w:sz w:val="18"/>
          <w:lang w:val="el-GR"/>
        </w:rPr>
        <w:t xml:space="preserve"> </w:t>
      </w:r>
      <w:r w:rsidR="00D9318E">
        <w:rPr>
          <w:rFonts w:asciiTheme="minorHAnsi" w:hAnsiTheme="minorHAnsi" w:cstheme="minorHAnsi"/>
          <w:sz w:val="18"/>
          <w:lang w:val="el-GR"/>
        </w:rPr>
        <w:t>1</w:t>
      </w:r>
      <w:r w:rsidR="00CC600A" w:rsidRPr="00CC600A">
        <w:rPr>
          <w:rFonts w:asciiTheme="minorHAnsi" w:hAnsiTheme="minorHAnsi" w:cstheme="minorHAnsi"/>
          <w:sz w:val="18"/>
          <w:vertAlign w:val="superscript"/>
          <w:lang w:val="el-GR"/>
        </w:rPr>
        <w:t>ο</w:t>
      </w:r>
      <w:r w:rsidR="00CC600A">
        <w:rPr>
          <w:rFonts w:asciiTheme="minorHAnsi" w:hAnsiTheme="minorHAnsi" w:cstheme="minorHAnsi"/>
          <w:sz w:val="18"/>
          <w:lang w:val="el-GR"/>
        </w:rPr>
        <w:t xml:space="preserve"> τρίμηνο 201</w:t>
      </w:r>
      <w:r w:rsidR="00D9318E">
        <w:rPr>
          <w:rFonts w:asciiTheme="minorHAnsi" w:hAnsiTheme="minorHAnsi" w:cstheme="minorHAnsi"/>
          <w:sz w:val="18"/>
          <w:lang w:val="el-GR"/>
        </w:rPr>
        <w:t>9</w:t>
      </w:r>
      <w:r w:rsidR="00CC600A">
        <w:rPr>
          <w:rFonts w:asciiTheme="minorHAnsi" w:hAnsiTheme="minorHAnsi" w:cstheme="minorHAnsi"/>
          <w:sz w:val="18"/>
          <w:lang w:val="el-GR"/>
        </w:rPr>
        <w:t xml:space="preserve"> </w:t>
      </w:r>
      <w:r w:rsidRPr="00260731">
        <w:rPr>
          <w:rFonts w:asciiTheme="minorHAnsi" w:hAnsiTheme="minorHAnsi" w:cstheme="minorHAnsi"/>
          <w:sz w:val="18"/>
          <w:lang w:val="el-GR"/>
        </w:rPr>
        <w:t>.</w:t>
      </w:r>
    </w:p>
  </w:footnote>
  <w:footnote w:id="3">
    <w:p w:rsidR="00DF580C" w:rsidRPr="00887DBA" w:rsidRDefault="00DF580C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  <w:szCs w:val="18"/>
        </w:rPr>
        <w:footnoteRef/>
      </w:r>
      <w:r w:rsidRPr="00887DBA">
        <w:rPr>
          <w:rFonts w:ascii="Arial" w:hAnsi="Arial" w:cs="Arial"/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(π.χ μη έγκαιρη ανανέωση της εγγραφής τους).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1A07"/>
    <w:multiLevelType w:val="hybridMultilevel"/>
    <w:tmpl w:val="C0D65AD4"/>
    <w:lvl w:ilvl="0" w:tplc="F3A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3361"/>
    <w:rsid w:val="00002C3D"/>
    <w:rsid w:val="00002DF4"/>
    <w:rsid w:val="00003805"/>
    <w:rsid w:val="00005126"/>
    <w:rsid w:val="00005B15"/>
    <w:rsid w:val="00005CD8"/>
    <w:rsid w:val="0000613B"/>
    <w:rsid w:val="0000615A"/>
    <w:rsid w:val="00006401"/>
    <w:rsid w:val="00006A27"/>
    <w:rsid w:val="00006BCD"/>
    <w:rsid w:val="00010C6C"/>
    <w:rsid w:val="00011AEF"/>
    <w:rsid w:val="0001279B"/>
    <w:rsid w:val="00013200"/>
    <w:rsid w:val="00013528"/>
    <w:rsid w:val="00013638"/>
    <w:rsid w:val="00014538"/>
    <w:rsid w:val="00014BE6"/>
    <w:rsid w:val="000167EC"/>
    <w:rsid w:val="00016BDA"/>
    <w:rsid w:val="000173F5"/>
    <w:rsid w:val="00017747"/>
    <w:rsid w:val="0001788F"/>
    <w:rsid w:val="0002000C"/>
    <w:rsid w:val="0002080A"/>
    <w:rsid w:val="000212A3"/>
    <w:rsid w:val="0002134D"/>
    <w:rsid w:val="00021680"/>
    <w:rsid w:val="000223EB"/>
    <w:rsid w:val="00023CF9"/>
    <w:rsid w:val="00024B3C"/>
    <w:rsid w:val="0002539D"/>
    <w:rsid w:val="0002597F"/>
    <w:rsid w:val="00026073"/>
    <w:rsid w:val="000268A4"/>
    <w:rsid w:val="00026902"/>
    <w:rsid w:val="00027304"/>
    <w:rsid w:val="00030695"/>
    <w:rsid w:val="00030880"/>
    <w:rsid w:val="00031216"/>
    <w:rsid w:val="000317A5"/>
    <w:rsid w:val="000337FB"/>
    <w:rsid w:val="000339AA"/>
    <w:rsid w:val="00033D17"/>
    <w:rsid w:val="00034008"/>
    <w:rsid w:val="00034857"/>
    <w:rsid w:val="00035982"/>
    <w:rsid w:val="000359B6"/>
    <w:rsid w:val="00035E68"/>
    <w:rsid w:val="00035F71"/>
    <w:rsid w:val="000369CE"/>
    <w:rsid w:val="00037D0D"/>
    <w:rsid w:val="00037F94"/>
    <w:rsid w:val="00040124"/>
    <w:rsid w:val="00041205"/>
    <w:rsid w:val="000418C3"/>
    <w:rsid w:val="00041C45"/>
    <w:rsid w:val="00041EEA"/>
    <w:rsid w:val="00042105"/>
    <w:rsid w:val="0004296D"/>
    <w:rsid w:val="00042BDF"/>
    <w:rsid w:val="00042CEC"/>
    <w:rsid w:val="00042FD7"/>
    <w:rsid w:val="000437B1"/>
    <w:rsid w:val="00044717"/>
    <w:rsid w:val="0004503B"/>
    <w:rsid w:val="00045E4D"/>
    <w:rsid w:val="00045FBD"/>
    <w:rsid w:val="000473AC"/>
    <w:rsid w:val="00050075"/>
    <w:rsid w:val="000511AA"/>
    <w:rsid w:val="000529C2"/>
    <w:rsid w:val="00053027"/>
    <w:rsid w:val="00053A04"/>
    <w:rsid w:val="00055CAF"/>
    <w:rsid w:val="00055F25"/>
    <w:rsid w:val="000561F4"/>
    <w:rsid w:val="0005647D"/>
    <w:rsid w:val="0005656F"/>
    <w:rsid w:val="00056B04"/>
    <w:rsid w:val="00056E43"/>
    <w:rsid w:val="00056EB3"/>
    <w:rsid w:val="00057CDE"/>
    <w:rsid w:val="00060260"/>
    <w:rsid w:val="000602D3"/>
    <w:rsid w:val="00060516"/>
    <w:rsid w:val="0006092C"/>
    <w:rsid w:val="00060B6D"/>
    <w:rsid w:val="00060DED"/>
    <w:rsid w:val="00061468"/>
    <w:rsid w:val="000617E3"/>
    <w:rsid w:val="000629D6"/>
    <w:rsid w:val="00062BA3"/>
    <w:rsid w:val="00062C7A"/>
    <w:rsid w:val="00063092"/>
    <w:rsid w:val="000630E7"/>
    <w:rsid w:val="000639D6"/>
    <w:rsid w:val="0006436B"/>
    <w:rsid w:val="00064C7A"/>
    <w:rsid w:val="00064EB5"/>
    <w:rsid w:val="00064F70"/>
    <w:rsid w:val="00066075"/>
    <w:rsid w:val="00066096"/>
    <w:rsid w:val="00066195"/>
    <w:rsid w:val="00067DDB"/>
    <w:rsid w:val="00070500"/>
    <w:rsid w:val="000711CF"/>
    <w:rsid w:val="00071EC5"/>
    <w:rsid w:val="000723D7"/>
    <w:rsid w:val="00073659"/>
    <w:rsid w:val="000738D1"/>
    <w:rsid w:val="00073A40"/>
    <w:rsid w:val="00073E11"/>
    <w:rsid w:val="00074BDD"/>
    <w:rsid w:val="00074CB9"/>
    <w:rsid w:val="00075073"/>
    <w:rsid w:val="0007520E"/>
    <w:rsid w:val="000757FD"/>
    <w:rsid w:val="00075DCA"/>
    <w:rsid w:val="00076CDF"/>
    <w:rsid w:val="00080182"/>
    <w:rsid w:val="00080755"/>
    <w:rsid w:val="000808ED"/>
    <w:rsid w:val="000810E6"/>
    <w:rsid w:val="000817ED"/>
    <w:rsid w:val="0008261E"/>
    <w:rsid w:val="00082AF6"/>
    <w:rsid w:val="00083012"/>
    <w:rsid w:val="00083361"/>
    <w:rsid w:val="00083526"/>
    <w:rsid w:val="000836B9"/>
    <w:rsid w:val="0008467A"/>
    <w:rsid w:val="00084B60"/>
    <w:rsid w:val="000864B3"/>
    <w:rsid w:val="000879D4"/>
    <w:rsid w:val="00087A89"/>
    <w:rsid w:val="000921CE"/>
    <w:rsid w:val="00093F6D"/>
    <w:rsid w:val="000944F0"/>
    <w:rsid w:val="000958D2"/>
    <w:rsid w:val="000964A4"/>
    <w:rsid w:val="00096790"/>
    <w:rsid w:val="0009714F"/>
    <w:rsid w:val="00097787"/>
    <w:rsid w:val="00097FF8"/>
    <w:rsid w:val="000A1CFC"/>
    <w:rsid w:val="000A1D07"/>
    <w:rsid w:val="000A21B0"/>
    <w:rsid w:val="000A21B7"/>
    <w:rsid w:val="000A25E2"/>
    <w:rsid w:val="000A3CCF"/>
    <w:rsid w:val="000A48A3"/>
    <w:rsid w:val="000A4BDA"/>
    <w:rsid w:val="000A4DD8"/>
    <w:rsid w:val="000A579C"/>
    <w:rsid w:val="000A67CF"/>
    <w:rsid w:val="000A7613"/>
    <w:rsid w:val="000A76EC"/>
    <w:rsid w:val="000A7DCA"/>
    <w:rsid w:val="000B09B9"/>
    <w:rsid w:val="000B0E61"/>
    <w:rsid w:val="000B1066"/>
    <w:rsid w:val="000B173E"/>
    <w:rsid w:val="000B23AF"/>
    <w:rsid w:val="000B258F"/>
    <w:rsid w:val="000B354F"/>
    <w:rsid w:val="000B42A0"/>
    <w:rsid w:val="000B4A04"/>
    <w:rsid w:val="000B52C4"/>
    <w:rsid w:val="000B5491"/>
    <w:rsid w:val="000B62C7"/>
    <w:rsid w:val="000B6C3C"/>
    <w:rsid w:val="000B7661"/>
    <w:rsid w:val="000B7715"/>
    <w:rsid w:val="000B7A0A"/>
    <w:rsid w:val="000C12CF"/>
    <w:rsid w:val="000C1C44"/>
    <w:rsid w:val="000C1CFB"/>
    <w:rsid w:val="000C28BE"/>
    <w:rsid w:val="000C2FAD"/>
    <w:rsid w:val="000C3286"/>
    <w:rsid w:val="000C343A"/>
    <w:rsid w:val="000C3B3A"/>
    <w:rsid w:val="000C3DF5"/>
    <w:rsid w:val="000C416D"/>
    <w:rsid w:val="000C418A"/>
    <w:rsid w:val="000C48A8"/>
    <w:rsid w:val="000C4A20"/>
    <w:rsid w:val="000C7190"/>
    <w:rsid w:val="000C7A21"/>
    <w:rsid w:val="000D0169"/>
    <w:rsid w:val="000D119C"/>
    <w:rsid w:val="000D1AB6"/>
    <w:rsid w:val="000D2702"/>
    <w:rsid w:val="000D303A"/>
    <w:rsid w:val="000D3763"/>
    <w:rsid w:val="000D3A82"/>
    <w:rsid w:val="000D4215"/>
    <w:rsid w:val="000D468C"/>
    <w:rsid w:val="000D494E"/>
    <w:rsid w:val="000D4CBA"/>
    <w:rsid w:val="000D4F6F"/>
    <w:rsid w:val="000D56DA"/>
    <w:rsid w:val="000D6563"/>
    <w:rsid w:val="000D731E"/>
    <w:rsid w:val="000E03BB"/>
    <w:rsid w:val="000E03C9"/>
    <w:rsid w:val="000E061F"/>
    <w:rsid w:val="000E0A28"/>
    <w:rsid w:val="000E11D2"/>
    <w:rsid w:val="000E13E2"/>
    <w:rsid w:val="000E1919"/>
    <w:rsid w:val="000E22A1"/>
    <w:rsid w:val="000E2A17"/>
    <w:rsid w:val="000E3552"/>
    <w:rsid w:val="000E3651"/>
    <w:rsid w:val="000E4E38"/>
    <w:rsid w:val="000E53AF"/>
    <w:rsid w:val="000E59CE"/>
    <w:rsid w:val="000E5C51"/>
    <w:rsid w:val="000E6071"/>
    <w:rsid w:val="000E7635"/>
    <w:rsid w:val="000F0640"/>
    <w:rsid w:val="000F2274"/>
    <w:rsid w:val="000F3F5A"/>
    <w:rsid w:val="000F5473"/>
    <w:rsid w:val="000F5C0C"/>
    <w:rsid w:val="000F5D55"/>
    <w:rsid w:val="000F70F2"/>
    <w:rsid w:val="00100502"/>
    <w:rsid w:val="001008ED"/>
    <w:rsid w:val="001039CA"/>
    <w:rsid w:val="00105541"/>
    <w:rsid w:val="00105721"/>
    <w:rsid w:val="00105F52"/>
    <w:rsid w:val="00106145"/>
    <w:rsid w:val="001064AE"/>
    <w:rsid w:val="00106847"/>
    <w:rsid w:val="0010745C"/>
    <w:rsid w:val="0010748E"/>
    <w:rsid w:val="00110274"/>
    <w:rsid w:val="00110B27"/>
    <w:rsid w:val="0011168B"/>
    <w:rsid w:val="00111B01"/>
    <w:rsid w:val="00112703"/>
    <w:rsid w:val="00113A73"/>
    <w:rsid w:val="00114EB1"/>
    <w:rsid w:val="0011587C"/>
    <w:rsid w:val="0011721F"/>
    <w:rsid w:val="0012182F"/>
    <w:rsid w:val="00121A20"/>
    <w:rsid w:val="00121AE9"/>
    <w:rsid w:val="00121D43"/>
    <w:rsid w:val="001221C1"/>
    <w:rsid w:val="00122263"/>
    <w:rsid w:val="00122D72"/>
    <w:rsid w:val="00123AA2"/>
    <w:rsid w:val="00124068"/>
    <w:rsid w:val="0012440D"/>
    <w:rsid w:val="0012459B"/>
    <w:rsid w:val="00124F32"/>
    <w:rsid w:val="00125164"/>
    <w:rsid w:val="0012656E"/>
    <w:rsid w:val="00126975"/>
    <w:rsid w:val="00126AA8"/>
    <w:rsid w:val="00126E88"/>
    <w:rsid w:val="001270CA"/>
    <w:rsid w:val="001302DB"/>
    <w:rsid w:val="00132334"/>
    <w:rsid w:val="001337C3"/>
    <w:rsid w:val="00133CBD"/>
    <w:rsid w:val="00133EF6"/>
    <w:rsid w:val="00134E85"/>
    <w:rsid w:val="0013699E"/>
    <w:rsid w:val="001377BD"/>
    <w:rsid w:val="00140A77"/>
    <w:rsid w:val="00140E97"/>
    <w:rsid w:val="00142C3C"/>
    <w:rsid w:val="00142F6F"/>
    <w:rsid w:val="00143190"/>
    <w:rsid w:val="001436F1"/>
    <w:rsid w:val="00144496"/>
    <w:rsid w:val="00144661"/>
    <w:rsid w:val="001446C9"/>
    <w:rsid w:val="00145124"/>
    <w:rsid w:val="00145EBC"/>
    <w:rsid w:val="00146A99"/>
    <w:rsid w:val="0014707A"/>
    <w:rsid w:val="001474A0"/>
    <w:rsid w:val="00147FC7"/>
    <w:rsid w:val="00150048"/>
    <w:rsid w:val="001506BF"/>
    <w:rsid w:val="00150896"/>
    <w:rsid w:val="001508CA"/>
    <w:rsid w:val="00150F67"/>
    <w:rsid w:val="00151898"/>
    <w:rsid w:val="00151970"/>
    <w:rsid w:val="001519AA"/>
    <w:rsid w:val="00151EE4"/>
    <w:rsid w:val="00152196"/>
    <w:rsid w:val="00152E05"/>
    <w:rsid w:val="001532C6"/>
    <w:rsid w:val="0015339F"/>
    <w:rsid w:val="00153409"/>
    <w:rsid w:val="00153877"/>
    <w:rsid w:val="00153B8A"/>
    <w:rsid w:val="00154747"/>
    <w:rsid w:val="00154A2B"/>
    <w:rsid w:val="00154AAF"/>
    <w:rsid w:val="0015617C"/>
    <w:rsid w:val="0015629E"/>
    <w:rsid w:val="0015798E"/>
    <w:rsid w:val="00157B82"/>
    <w:rsid w:val="001603FC"/>
    <w:rsid w:val="00160889"/>
    <w:rsid w:val="001633DA"/>
    <w:rsid w:val="00163668"/>
    <w:rsid w:val="001637FF"/>
    <w:rsid w:val="001638DD"/>
    <w:rsid w:val="0016476A"/>
    <w:rsid w:val="001647E8"/>
    <w:rsid w:val="00164FC1"/>
    <w:rsid w:val="00165037"/>
    <w:rsid w:val="0016619E"/>
    <w:rsid w:val="00166C00"/>
    <w:rsid w:val="00166F0D"/>
    <w:rsid w:val="0017065C"/>
    <w:rsid w:val="001706A6"/>
    <w:rsid w:val="00170862"/>
    <w:rsid w:val="00171983"/>
    <w:rsid w:val="00171C2B"/>
    <w:rsid w:val="00171CF7"/>
    <w:rsid w:val="00172A69"/>
    <w:rsid w:val="00172D40"/>
    <w:rsid w:val="001731B4"/>
    <w:rsid w:val="00174260"/>
    <w:rsid w:val="00176435"/>
    <w:rsid w:val="00176720"/>
    <w:rsid w:val="00176AD1"/>
    <w:rsid w:val="00176DDE"/>
    <w:rsid w:val="001773D2"/>
    <w:rsid w:val="00177D60"/>
    <w:rsid w:val="001801C1"/>
    <w:rsid w:val="001809B8"/>
    <w:rsid w:val="00180DC0"/>
    <w:rsid w:val="0018111B"/>
    <w:rsid w:val="001811C1"/>
    <w:rsid w:val="001811D0"/>
    <w:rsid w:val="00181547"/>
    <w:rsid w:val="001817AE"/>
    <w:rsid w:val="00181D9B"/>
    <w:rsid w:val="00182F5A"/>
    <w:rsid w:val="00183345"/>
    <w:rsid w:val="001834FF"/>
    <w:rsid w:val="00183549"/>
    <w:rsid w:val="00183668"/>
    <w:rsid w:val="00183892"/>
    <w:rsid w:val="00184578"/>
    <w:rsid w:val="001846A0"/>
    <w:rsid w:val="001850E8"/>
    <w:rsid w:val="00185232"/>
    <w:rsid w:val="00185BD9"/>
    <w:rsid w:val="00187A1A"/>
    <w:rsid w:val="00191435"/>
    <w:rsid w:val="00191846"/>
    <w:rsid w:val="00191A30"/>
    <w:rsid w:val="001930DA"/>
    <w:rsid w:val="0019344A"/>
    <w:rsid w:val="00193911"/>
    <w:rsid w:val="00194D1D"/>
    <w:rsid w:val="00195AFC"/>
    <w:rsid w:val="00196010"/>
    <w:rsid w:val="001960D5"/>
    <w:rsid w:val="00196148"/>
    <w:rsid w:val="001965A7"/>
    <w:rsid w:val="001971DF"/>
    <w:rsid w:val="00197345"/>
    <w:rsid w:val="001973F4"/>
    <w:rsid w:val="001A07AF"/>
    <w:rsid w:val="001A08CC"/>
    <w:rsid w:val="001A0B92"/>
    <w:rsid w:val="001A130A"/>
    <w:rsid w:val="001A1CCB"/>
    <w:rsid w:val="001A2BE0"/>
    <w:rsid w:val="001A2EB4"/>
    <w:rsid w:val="001A3950"/>
    <w:rsid w:val="001A516D"/>
    <w:rsid w:val="001A530C"/>
    <w:rsid w:val="001A59A9"/>
    <w:rsid w:val="001A65D2"/>
    <w:rsid w:val="001A7783"/>
    <w:rsid w:val="001A7B38"/>
    <w:rsid w:val="001B0E04"/>
    <w:rsid w:val="001B12BB"/>
    <w:rsid w:val="001B2615"/>
    <w:rsid w:val="001B2875"/>
    <w:rsid w:val="001B2A2D"/>
    <w:rsid w:val="001B2B69"/>
    <w:rsid w:val="001B3DD3"/>
    <w:rsid w:val="001B3FA3"/>
    <w:rsid w:val="001B429A"/>
    <w:rsid w:val="001B489F"/>
    <w:rsid w:val="001B5423"/>
    <w:rsid w:val="001B5762"/>
    <w:rsid w:val="001B6168"/>
    <w:rsid w:val="001B66ED"/>
    <w:rsid w:val="001B6B55"/>
    <w:rsid w:val="001B6EF1"/>
    <w:rsid w:val="001B7079"/>
    <w:rsid w:val="001B75E4"/>
    <w:rsid w:val="001C010B"/>
    <w:rsid w:val="001C12DB"/>
    <w:rsid w:val="001C13A9"/>
    <w:rsid w:val="001C144A"/>
    <w:rsid w:val="001C2E23"/>
    <w:rsid w:val="001C4BFB"/>
    <w:rsid w:val="001C5C8D"/>
    <w:rsid w:val="001C65C9"/>
    <w:rsid w:val="001D0675"/>
    <w:rsid w:val="001D0D2E"/>
    <w:rsid w:val="001D1CAA"/>
    <w:rsid w:val="001D21CB"/>
    <w:rsid w:val="001D2609"/>
    <w:rsid w:val="001D261D"/>
    <w:rsid w:val="001D26CD"/>
    <w:rsid w:val="001D2717"/>
    <w:rsid w:val="001D2D03"/>
    <w:rsid w:val="001D33EC"/>
    <w:rsid w:val="001D3927"/>
    <w:rsid w:val="001D3D40"/>
    <w:rsid w:val="001D44CA"/>
    <w:rsid w:val="001D4AE3"/>
    <w:rsid w:val="001D50B8"/>
    <w:rsid w:val="001D57E8"/>
    <w:rsid w:val="001D71D9"/>
    <w:rsid w:val="001E0080"/>
    <w:rsid w:val="001E0DF3"/>
    <w:rsid w:val="001E0EA5"/>
    <w:rsid w:val="001E1142"/>
    <w:rsid w:val="001E12E6"/>
    <w:rsid w:val="001E1CF3"/>
    <w:rsid w:val="001E27B4"/>
    <w:rsid w:val="001E2BBB"/>
    <w:rsid w:val="001E39AF"/>
    <w:rsid w:val="001E3E30"/>
    <w:rsid w:val="001E3F57"/>
    <w:rsid w:val="001E45FB"/>
    <w:rsid w:val="001E4C1C"/>
    <w:rsid w:val="001E4E7E"/>
    <w:rsid w:val="001E4F66"/>
    <w:rsid w:val="001E53E2"/>
    <w:rsid w:val="001E5B4A"/>
    <w:rsid w:val="001E5C99"/>
    <w:rsid w:val="001E5EC0"/>
    <w:rsid w:val="001E6708"/>
    <w:rsid w:val="001E71F7"/>
    <w:rsid w:val="001E7CF0"/>
    <w:rsid w:val="001F3324"/>
    <w:rsid w:val="001F4242"/>
    <w:rsid w:val="001F4F6B"/>
    <w:rsid w:val="001F540D"/>
    <w:rsid w:val="001F5B85"/>
    <w:rsid w:val="001F6057"/>
    <w:rsid w:val="001F6103"/>
    <w:rsid w:val="001F66B4"/>
    <w:rsid w:val="001F67BB"/>
    <w:rsid w:val="001F69FA"/>
    <w:rsid w:val="001F6CDA"/>
    <w:rsid w:val="002000CC"/>
    <w:rsid w:val="002004B1"/>
    <w:rsid w:val="00200DBA"/>
    <w:rsid w:val="002010F9"/>
    <w:rsid w:val="00201386"/>
    <w:rsid w:val="00201C10"/>
    <w:rsid w:val="002022AF"/>
    <w:rsid w:val="002024A7"/>
    <w:rsid w:val="00203550"/>
    <w:rsid w:val="002046DF"/>
    <w:rsid w:val="00205849"/>
    <w:rsid w:val="00205B4E"/>
    <w:rsid w:val="00205F1E"/>
    <w:rsid w:val="00206C4C"/>
    <w:rsid w:val="00207160"/>
    <w:rsid w:val="002076B1"/>
    <w:rsid w:val="00210181"/>
    <w:rsid w:val="00212303"/>
    <w:rsid w:val="002132FD"/>
    <w:rsid w:val="002137A9"/>
    <w:rsid w:val="00213C4F"/>
    <w:rsid w:val="00213C50"/>
    <w:rsid w:val="00213E1E"/>
    <w:rsid w:val="00214130"/>
    <w:rsid w:val="00214502"/>
    <w:rsid w:val="002151EF"/>
    <w:rsid w:val="00215767"/>
    <w:rsid w:val="0021657C"/>
    <w:rsid w:val="00216986"/>
    <w:rsid w:val="00216FF8"/>
    <w:rsid w:val="00217029"/>
    <w:rsid w:val="00217835"/>
    <w:rsid w:val="00220C0D"/>
    <w:rsid w:val="00220C43"/>
    <w:rsid w:val="00221311"/>
    <w:rsid w:val="00221572"/>
    <w:rsid w:val="0022280D"/>
    <w:rsid w:val="00222AE5"/>
    <w:rsid w:val="00223CD3"/>
    <w:rsid w:val="002240E4"/>
    <w:rsid w:val="0022419E"/>
    <w:rsid w:val="002247AC"/>
    <w:rsid w:val="00225289"/>
    <w:rsid w:val="00225E3C"/>
    <w:rsid w:val="002268A6"/>
    <w:rsid w:val="00226A3B"/>
    <w:rsid w:val="00227D01"/>
    <w:rsid w:val="00230259"/>
    <w:rsid w:val="002302E4"/>
    <w:rsid w:val="0023060B"/>
    <w:rsid w:val="0023143A"/>
    <w:rsid w:val="00231738"/>
    <w:rsid w:val="002322BC"/>
    <w:rsid w:val="002325EB"/>
    <w:rsid w:val="00232844"/>
    <w:rsid w:val="00232C14"/>
    <w:rsid w:val="00233AD5"/>
    <w:rsid w:val="0023515E"/>
    <w:rsid w:val="00235CA5"/>
    <w:rsid w:val="00235CDE"/>
    <w:rsid w:val="00235E23"/>
    <w:rsid w:val="00235EE8"/>
    <w:rsid w:val="00235F57"/>
    <w:rsid w:val="00235FF9"/>
    <w:rsid w:val="002376C6"/>
    <w:rsid w:val="00240380"/>
    <w:rsid w:val="00241250"/>
    <w:rsid w:val="0024136E"/>
    <w:rsid w:val="00241A36"/>
    <w:rsid w:val="00241C56"/>
    <w:rsid w:val="00242984"/>
    <w:rsid w:val="00242EFE"/>
    <w:rsid w:val="00243607"/>
    <w:rsid w:val="00243BB7"/>
    <w:rsid w:val="00243F7F"/>
    <w:rsid w:val="002445EA"/>
    <w:rsid w:val="00244FB2"/>
    <w:rsid w:val="00245203"/>
    <w:rsid w:val="002453D8"/>
    <w:rsid w:val="00247B7F"/>
    <w:rsid w:val="00250420"/>
    <w:rsid w:val="00250755"/>
    <w:rsid w:val="0025098B"/>
    <w:rsid w:val="00250A89"/>
    <w:rsid w:val="002525D2"/>
    <w:rsid w:val="0025296E"/>
    <w:rsid w:val="00252E1B"/>
    <w:rsid w:val="002531B0"/>
    <w:rsid w:val="002549C8"/>
    <w:rsid w:val="002554EB"/>
    <w:rsid w:val="00255EC4"/>
    <w:rsid w:val="00257324"/>
    <w:rsid w:val="00260731"/>
    <w:rsid w:val="00260B27"/>
    <w:rsid w:val="0026224A"/>
    <w:rsid w:val="00263CE4"/>
    <w:rsid w:val="00265684"/>
    <w:rsid w:val="00265685"/>
    <w:rsid w:val="002656E7"/>
    <w:rsid w:val="00265C57"/>
    <w:rsid w:val="00265CEA"/>
    <w:rsid w:val="00266466"/>
    <w:rsid w:val="00266AEF"/>
    <w:rsid w:val="00267103"/>
    <w:rsid w:val="00267BF7"/>
    <w:rsid w:val="002701A5"/>
    <w:rsid w:val="00271011"/>
    <w:rsid w:val="00271569"/>
    <w:rsid w:val="00272127"/>
    <w:rsid w:val="0027285D"/>
    <w:rsid w:val="00272C8A"/>
    <w:rsid w:val="00272F98"/>
    <w:rsid w:val="00273C72"/>
    <w:rsid w:val="002748CE"/>
    <w:rsid w:val="002753B5"/>
    <w:rsid w:val="00276A6A"/>
    <w:rsid w:val="00277F6F"/>
    <w:rsid w:val="002801E9"/>
    <w:rsid w:val="00280610"/>
    <w:rsid w:val="002807E8"/>
    <w:rsid w:val="00280932"/>
    <w:rsid w:val="00281AD3"/>
    <w:rsid w:val="002821F9"/>
    <w:rsid w:val="002822CB"/>
    <w:rsid w:val="0028265A"/>
    <w:rsid w:val="002847F3"/>
    <w:rsid w:val="00284D58"/>
    <w:rsid w:val="00285515"/>
    <w:rsid w:val="00285A0F"/>
    <w:rsid w:val="00286EAE"/>
    <w:rsid w:val="002876DA"/>
    <w:rsid w:val="002878D8"/>
    <w:rsid w:val="00287F1D"/>
    <w:rsid w:val="002901D0"/>
    <w:rsid w:val="002909AA"/>
    <w:rsid w:val="0029253B"/>
    <w:rsid w:val="00292B4D"/>
    <w:rsid w:val="00293693"/>
    <w:rsid w:val="002937A0"/>
    <w:rsid w:val="00294E8C"/>
    <w:rsid w:val="00294EE9"/>
    <w:rsid w:val="00294FF9"/>
    <w:rsid w:val="002953A8"/>
    <w:rsid w:val="00295E43"/>
    <w:rsid w:val="00295EA5"/>
    <w:rsid w:val="00296910"/>
    <w:rsid w:val="002A0061"/>
    <w:rsid w:val="002A0422"/>
    <w:rsid w:val="002A08F4"/>
    <w:rsid w:val="002A0E9D"/>
    <w:rsid w:val="002A1A62"/>
    <w:rsid w:val="002A2088"/>
    <w:rsid w:val="002A21C9"/>
    <w:rsid w:val="002A27F7"/>
    <w:rsid w:val="002A336A"/>
    <w:rsid w:val="002A4708"/>
    <w:rsid w:val="002A47A5"/>
    <w:rsid w:val="002A5344"/>
    <w:rsid w:val="002A6841"/>
    <w:rsid w:val="002A69E0"/>
    <w:rsid w:val="002A7825"/>
    <w:rsid w:val="002A7C8A"/>
    <w:rsid w:val="002A7D95"/>
    <w:rsid w:val="002B067A"/>
    <w:rsid w:val="002B0C6C"/>
    <w:rsid w:val="002B1519"/>
    <w:rsid w:val="002B1772"/>
    <w:rsid w:val="002B1F6B"/>
    <w:rsid w:val="002B2999"/>
    <w:rsid w:val="002B3A4E"/>
    <w:rsid w:val="002B4985"/>
    <w:rsid w:val="002B4C40"/>
    <w:rsid w:val="002B7216"/>
    <w:rsid w:val="002B75FF"/>
    <w:rsid w:val="002B768C"/>
    <w:rsid w:val="002C059B"/>
    <w:rsid w:val="002C1C0A"/>
    <w:rsid w:val="002C33E6"/>
    <w:rsid w:val="002C34F5"/>
    <w:rsid w:val="002C37DD"/>
    <w:rsid w:val="002C3CEC"/>
    <w:rsid w:val="002C3D1E"/>
    <w:rsid w:val="002C48DB"/>
    <w:rsid w:val="002C4CAB"/>
    <w:rsid w:val="002C5A63"/>
    <w:rsid w:val="002C6AE9"/>
    <w:rsid w:val="002C72B8"/>
    <w:rsid w:val="002D09CA"/>
    <w:rsid w:val="002D26C5"/>
    <w:rsid w:val="002D2BF5"/>
    <w:rsid w:val="002D3E45"/>
    <w:rsid w:val="002D3F10"/>
    <w:rsid w:val="002D3F89"/>
    <w:rsid w:val="002D5831"/>
    <w:rsid w:val="002D58B7"/>
    <w:rsid w:val="002D61CF"/>
    <w:rsid w:val="002D6A8E"/>
    <w:rsid w:val="002D6ADB"/>
    <w:rsid w:val="002D6CD4"/>
    <w:rsid w:val="002D6DA3"/>
    <w:rsid w:val="002D7145"/>
    <w:rsid w:val="002D7FAB"/>
    <w:rsid w:val="002E037A"/>
    <w:rsid w:val="002E061A"/>
    <w:rsid w:val="002E14E3"/>
    <w:rsid w:val="002E16B6"/>
    <w:rsid w:val="002E1C5E"/>
    <w:rsid w:val="002E233A"/>
    <w:rsid w:val="002E2754"/>
    <w:rsid w:val="002E3007"/>
    <w:rsid w:val="002E47B5"/>
    <w:rsid w:val="002E5F8E"/>
    <w:rsid w:val="002F0496"/>
    <w:rsid w:val="002F155B"/>
    <w:rsid w:val="002F1E2B"/>
    <w:rsid w:val="002F274D"/>
    <w:rsid w:val="002F2840"/>
    <w:rsid w:val="002F33EE"/>
    <w:rsid w:val="002F349A"/>
    <w:rsid w:val="002F42A4"/>
    <w:rsid w:val="002F453F"/>
    <w:rsid w:val="002F6773"/>
    <w:rsid w:val="002F6BBB"/>
    <w:rsid w:val="00300436"/>
    <w:rsid w:val="003028C8"/>
    <w:rsid w:val="00303F8D"/>
    <w:rsid w:val="003041EF"/>
    <w:rsid w:val="00304591"/>
    <w:rsid w:val="00304DD4"/>
    <w:rsid w:val="003050FA"/>
    <w:rsid w:val="00306F1D"/>
    <w:rsid w:val="003105C0"/>
    <w:rsid w:val="0031065F"/>
    <w:rsid w:val="0031090D"/>
    <w:rsid w:val="00311ABB"/>
    <w:rsid w:val="00312311"/>
    <w:rsid w:val="0031267B"/>
    <w:rsid w:val="00312B31"/>
    <w:rsid w:val="00313830"/>
    <w:rsid w:val="00313B62"/>
    <w:rsid w:val="00313C48"/>
    <w:rsid w:val="003140B3"/>
    <w:rsid w:val="00314376"/>
    <w:rsid w:val="00314950"/>
    <w:rsid w:val="00315947"/>
    <w:rsid w:val="00315E28"/>
    <w:rsid w:val="003160A6"/>
    <w:rsid w:val="00316471"/>
    <w:rsid w:val="00316E62"/>
    <w:rsid w:val="00316F43"/>
    <w:rsid w:val="00317E21"/>
    <w:rsid w:val="003203FA"/>
    <w:rsid w:val="00320710"/>
    <w:rsid w:val="00320DB8"/>
    <w:rsid w:val="00320E35"/>
    <w:rsid w:val="00321608"/>
    <w:rsid w:val="003217A3"/>
    <w:rsid w:val="003219D2"/>
    <w:rsid w:val="00322518"/>
    <w:rsid w:val="00323751"/>
    <w:rsid w:val="0032398F"/>
    <w:rsid w:val="0032580B"/>
    <w:rsid w:val="0032643F"/>
    <w:rsid w:val="00327206"/>
    <w:rsid w:val="00327E10"/>
    <w:rsid w:val="00330DD6"/>
    <w:rsid w:val="00330E60"/>
    <w:rsid w:val="00331AB8"/>
    <w:rsid w:val="003320CF"/>
    <w:rsid w:val="00332618"/>
    <w:rsid w:val="0033269E"/>
    <w:rsid w:val="00333CF0"/>
    <w:rsid w:val="00334737"/>
    <w:rsid w:val="0033643F"/>
    <w:rsid w:val="00336937"/>
    <w:rsid w:val="00337401"/>
    <w:rsid w:val="00337BA5"/>
    <w:rsid w:val="00340DF1"/>
    <w:rsid w:val="0034127F"/>
    <w:rsid w:val="0034149C"/>
    <w:rsid w:val="00342022"/>
    <w:rsid w:val="00343635"/>
    <w:rsid w:val="003446EA"/>
    <w:rsid w:val="00345E7A"/>
    <w:rsid w:val="00346AAC"/>
    <w:rsid w:val="00346AD1"/>
    <w:rsid w:val="00346B5D"/>
    <w:rsid w:val="003476FD"/>
    <w:rsid w:val="00350D19"/>
    <w:rsid w:val="00351493"/>
    <w:rsid w:val="00351A0A"/>
    <w:rsid w:val="003520FA"/>
    <w:rsid w:val="0035276A"/>
    <w:rsid w:val="0035492E"/>
    <w:rsid w:val="00355077"/>
    <w:rsid w:val="0035511A"/>
    <w:rsid w:val="00355157"/>
    <w:rsid w:val="003555D5"/>
    <w:rsid w:val="003559D9"/>
    <w:rsid w:val="00356D0D"/>
    <w:rsid w:val="00357F80"/>
    <w:rsid w:val="00361EDE"/>
    <w:rsid w:val="00361FEB"/>
    <w:rsid w:val="00362CC1"/>
    <w:rsid w:val="003633EC"/>
    <w:rsid w:val="003636EA"/>
    <w:rsid w:val="00363A0D"/>
    <w:rsid w:val="003646E1"/>
    <w:rsid w:val="00364C9B"/>
    <w:rsid w:val="00364CBB"/>
    <w:rsid w:val="003654A5"/>
    <w:rsid w:val="003655B4"/>
    <w:rsid w:val="0036730E"/>
    <w:rsid w:val="00371029"/>
    <w:rsid w:val="00371D4F"/>
    <w:rsid w:val="00372D83"/>
    <w:rsid w:val="00374281"/>
    <w:rsid w:val="0037472D"/>
    <w:rsid w:val="003751D4"/>
    <w:rsid w:val="00375373"/>
    <w:rsid w:val="00375FD6"/>
    <w:rsid w:val="003762B2"/>
    <w:rsid w:val="00376EE9"/>
    <w:rsid w:val="003805FF"/>
    <w:rsid w:val="00380805"/>
    <w:rsid w:val="003815E2"/>
    <w:rsid w:val="003819D0"/>
    <w:rsid w:val="0038225B"/>
    <w:rsid w:val="003829CC"/>
    <w:rsid w:val="00382D85"/>
    <w:rsid w:val="00384DCC"/>
    <w:rsid w:val="00385058"/>
    <w:rsid w:val="00385520"/>
    <w:rsid w:val="0038558C"/>
    <w:rsid w:val="003857FF"/>
    <w:rsid w:val="0038774F"/>
    <w:rsid w:val="00391233"/>
    <w:rsid w:val="00391B28"/>
    <w:rsid w:val="00392617"/>
    <w:rsid w:val="0039348E"/>
    <w:rsid w:val="003943BF"/>
    <w:rsid w:val="00394827"/>
    <w:rsid w:val="00394B82"/>
    <w:rsid w:val="00395660"/>
    <w:rsid w:val="00396AB2"/>
    <w:rsid w:val="00396B0D"/>
    <w:rsid w:val="00396F58"/>
    <w:rsid w:val="00396F7C"/>
    <w:rsid w:val="0039743E"/>
    <w:rsid w:val="003A0461"/>
    <w:rsid w:val="003A143C"/>
    <w:rsid w:val="003A2B19"/>
    <w:rsid w:val="003A3792"/>
    <w:rsid w:val="003A38C3"/>
    <w:rsid w:val="003A3A65"/>
    <w:rsid w:val="003A4028"/>
    <w:rsid w:val="003A5691"/>
    <w:rsid w:val="003A65CA"/>
    <w:rsid w:val="003A6DD7"/>
    <w:rsid w:val="003A6E58"/>
    <w:rsid w:val="003A7609"/>
    <w:rsid w:val="003A769B"/>
    <w:rsid w:val="003A794E"/>
    <w:rsid w:val="003A7C6A"/>
    <w:rsid w:val="003B00F0"/>
    <w:rsid w:val="003B11BC"/>
    <w:rsid w:val="003B1AC3"/>
    <w:rsid w:val="003B4319"/>
    <w:rsid w:val="003B5A6D"/>
    <w:rsid w:val="003B75F0"/>
    <w:rsid w:val="003B7DC6"/>
    <w:rsid w:val="003C0C23"/>
    <w:rsid w:val="003C0E33"/>
    <w:rsid w:val="003C225D"/>
    <w:rsid w:val="003C2786"/>
    <w:rsid w:val="003C2803"/>
    <w:rsid w:val="003C44E9"/>
    <w:rsid w:val="003C4972"/>
    <w:rsid w:val="003C51F0"/>
    <w:rsid w:val="003C61A1"/>
    <w:rsid w:val="003C6D3E"/>
    <w:rsid w:val="003C7555"/>
    <w:rsid w:val="003C7B09"/>
    <w:rsid w:val="003D071D"/>
    <w:rsid w:val="003D1783"/>
    <w:rsid w:val="003D2137"/>
    <w:rsid w:val="003D2977"/>
    <w:rsid w:val="003D2C82"/>
    <w:rsid w:val="003D35AA"/>
    <w:rsid w:val="003D4FA2"/>
    <w:rsid w:val="003D778C"/>
    <w:rsid w:val="003E024D"/>
    <w:rsid w:val="003E0B60"/>
    <w:rsid w:val="003E19DC"/>
    <w:rsid w:val="003E2378"/>
    <w:rsid w:val="003E2428"/>
    <w:rsid w:val="003E2832"/>
    <w:rsid w:val="003E367A"/>
    <w:rsid w:val="003E4355"/>
    <w:rsid w:val="003E4658"/>
    <w:rsid w:val="003E4692"/>
    <w:rsid w:val="003E4789"/>
    <w:rsid w:val="003E4960"/>
    <w:rsid w:val="003E4B1A"/>
    <w:rsid w:val="003E4D39"/>
    <w:rsid w:val="003E585E"/>
    <w:rsid w:val="003E72F6"/>
    <w:rsid w:val="003E73AD"/>
    <w:rsid w:val="003F08CF"/>
    <w:rsid w:val="003F1432"/>
    <w:rsid w:val="003F1844"/>
    <w:rsid w:val="003F1F75"/>
    <w:rsid w:val="003F30FD"/>
    <w:rsid w:val="003F3A69"/>
    <w:rsid w:val="003F62AE"/>
    <w:rsid w:val="003F6C5D"/>
    <w:rsid w:val="003F7451"/>
    <w:rsid w:val="003F7577"/>
    <w:rsid w:val="003F76C2"/>
    <w:rsid w:val="003F7823"/>
    <w:rsid w:val="00401615"/>
    <w:rsid w:val="0040276B"/>
    <w:rsid w:val="00402F8F"/>
    <w:rsid w:val="004030CD"/>
    <w:rsid w:val="004034F0"/>
    <w:rsid w:val="00403993"/>
    <w:rsid w:val="004043B8"/>
    <w:rsid w:val="004048C7"/>
    <w:rsid w:val="00404B63"/>
    <w:rsid w:val="0040530B"/>
    <w:rsid w:val="00405422"/>
    <w:rsid w:val="00405547"/>
    <w:rsid w:val="004055A0"/>
    <w:rsid w:val="004055D9"/>
    <w:rsid w:val="00405D1C"/>
    <w:rsid w:val="004063A1"/>
    <w:rsid w:val="00406414"/>
    <w:rsid w:val="0040658D"/>
    <w:rsid w:val="0040673F"/>
    <w:rsid w:val="00406A3A"/>
    <w:rsid w:val="00407084"/>
    <w:rsid w:val="00410505"/>
    <w:rsid w:val="00410E1E"/>
    <w:rsid w:val="00411112"/>
    <w:rsid w:val="00411281"/>
    <w:rsid w:val="004115B1"/>
    <w:rsid w:val="004115BB"/>
    <w:rsid w:val="00411630"/>
    <w:rsid w:val="00411B7B"/>
    <w:rsid w:val="004128F5"/>
    <w:rsid w:val="0041369C"/>
    <w:rsid w:val="00413728"/>
    <w:rsid w:val="004145C6"/>
    <w:rsid w:val="004149E0"/>
    <w:rsid w:val="00415999"/>
    <w:rsid w:val="00415AD1"/>
    <w:rsid w:val="00416ADB"/>
    <w:rsid w:val="00417130"/>
    <w:rsid w:val="00417178"/>
    <w:rsid w:val="004171BA"/>
    <w:rsid w:val="004179F6"/>
    <w:rsid w:val="00417D49"/>
    <w:rsid w:val="004202A1"/>
    <w:rsid w:val="0042056F"/>
    <w:rsid w:val="00420948"/>
    <w:rsid w:val="0042160D"/>
    <w:rsid w:val="00421945"/>
    <w:rsid w:val="00421F8B"/>
    <w:rsid w:val="00422378"/>
    <w:rsid w:val="00422C5D"/>
    <w:rsid w:val="0042344B"/>
    <w:rsid w:val="00423AC9"/>
    <w:rsid w:val="00423FA4"/>
    <w:rsid w:val="004247A0"/>
    <w:rsid w:val="00425559"/>
    <w:rsid w:val="00426853"/>
    <w:rsid w:val="00426C27"/>
    <w:rsid w:val="00426D88"/>
    <w:rsid w:val="00430DEE"/>
    <w:rsid w:val="00431167"/>
    <w:rsid w:val="004312E5"/>
    <w:rsid w:val="00431ED8"/>
    <w:rsid w:val="00432590"/>
    <w:rsid w:val="00432935"/>
    <w:rsid w:val="00432BA1"/>
    <w:rsid w:val="00433605"/>
    <w:rsid w:val="00433BE8"/>
    <w:rsid w:val="00434DC7"/>
    <w:rsid w:val="004354E4"/>
    <w:rsid w:val="004359C5"/>
    <w:rsid w:val="00435E05"/>
    <w:rsid w:val="004362AB"/>
    <w:rsid w:val="0043645E"/>
    <w:rsid w:val="004364DE"/>
    <w:rsid w:val="0043667A"/>
    <w:rsid w:val="00440234"/>
    <w:rsid w:val="00440B31"/>
    <w:rsid w:val="00442041"/>
    <w:rsid w:val="00442B85"/>
    <w:rsid w:val="004445B3"/>
    <w:rsid w:val="0044555B"/>
    <w:rsid w:val="004456F0"/>
    <w:rsid w:val="00446DAD"/>
    <w:rsid w:val="004470BA"/>
    <w:rsid w:val="00450048"/>
    <w:rsid w:val="00450BCB"/>
    <w:rsid w:val="00451553"/>
    <w:rsid w:val="004527C1"/>
    <w:rsid w:val="00454162"/>
    <w:rsid w:val="004541D8"/>
    <w:rsid w:val="004544E5"/>
    <w:rsid w:val="00454676"/>
    <w:rsid w:val="00454EC9"/>
    <w:rsid w:val="00455613"/>
    <w:rsid w:val="00455F05"/>
    <w:rsid w:val="00456BB3"/>
    <w:rsid w:val="00457DC5"/>
    <w:rsid w:val="00460129"/>
    <w:rsid w:val="004602E5"/>
    <w:rsid w:val="00460765"/>
    <w:rsid w:val="00460E97"/>
    <w:rsid w:val="00461D79"/>
    <w:rsid w:val="00462F2F"/>
    <w:rsid w:val="004630D1"/>
    <w:rsid w:val="00463503"/>
    <w:rsid w:val="00463FF5"/>
    <w:rsid w:val="0046514C"/>
    <w:rsid w:val="00465535"/>
    <w:rsid w:val="004659C9"/>
    <w:rsid w:val="00466781"/>
    <w:rsid w:val="004667D5"/>
    <w:rsid w:val="004671D2"/>
    <w:rsid w:val="00467288"/>
    <w:rsid w:val="004672B6"/>
    <w:rsid w:val="00467622"/>
    <w:rsid w:val="0046765A"/>
    <w:rsid w:val="0046776B"/>
    <w:rsid w:val="00467A45"/>
    <w:rsid w:val="00467BD3"/>
    <w:rsid w:val="004708E9"/>
    <w:rsid w:val="00470941"/>
    <w:rsid w:val="004711D8"/>
    <w:rsid w:val="0047162A"/>
    <w:rsid w:val="00471AD8"/>
    <w:rsid w:val="00471BF1"/>
    <w:rsid w:val="004720C0"/>
    <w:rsid w:val="0047483B"/>
    <w:rsid w:val="00474BB6"/>
    <w:rsid w:val="00475653"/>
    <w:rsid w:val="0047632B"/>
    <w:rsid w:val="004765AE"/>
    <w:rsid w:val="004765D2"/>
    <w:rsid w:val="004769E2"/>
    <w:rsid w:val="00476D90"/>
    <w:rsid w:val="0047706A"/>
    <w:rsid w:val="004772F2"/>
    <w:rsid w:val="00477300"/>
    <w:rsid w:val="00477B5D"/>
    <w:rsid w:val="00477CF8"/>
    <w:rsid w:val="00477D67"/>
    <w:rsid w:val="00477F46"/>
    <w:rsid w:val="00477FBB"/>
    <w:rsid w:val="004807CC"/>
    <w:rsid w:val="004810DF"/>
    <w:rsid w:val="00481A3B"/>
    <w:rsid w:val="00482465"/>
    <w:rsid w:val="0048301B"/>
    <w:rsid w:val="00483611"/>
    <w:rsid w:val="00483B15"/>
    <w:rsid w:val="00483F43"/>
    <w:rsid w:val="004849E9"/>
    <w:rsid w:val="00485229"/>
    <w:rsid w:val="00485412"/>
    <w:rsid w:val="004865FD"/>
    <w:rsid w:val="004868A2"/>
    <w:rsid w:val="0048694B"/>
    <w:rsid w:val="00486E07"/>
    <w:rsid w:val="0049029E"/>
    <w:rsid w:val="00490EFB"/>
    <w:rsid w:val="00490F73"/>
    <w:rsid w:val="004915DB"/>
    <w:rsid w:val="00491950"/>
    <w:rsid w:val="0049283A"/>
    <w:rsid w:val="004930D6"/>
    <w:rsid w:val="00493115"/>
    <w:rsid w:val="00493145"/>
    <w:rsid w:val="00493699"/>
    <w:rsid w:val="00493B26"/>
    <w:rsid w:val="00493B55"/>
    <w:rsid w:val="00493B7D"/>
    <w:rsid w:val="00493E68"/>
    <w:rsid w:val="00493FC9"/>
    <w:rsid w:val="00494E56"/>
    <w:rsid w:val="00495119"/>
    <w:rsid w:val="00495CE5"/>
    <w:rsid w:val="00495F20"/>
    <w:rsid w:val="00496732"/>
    <w:rsid w:val="004A0120"/>
    <w:rsid w:val="004A0726"/>
    <w:rsid w:val="004A07B1"/>
    <w:rsid w:val="004A0A8A"/>
    <w:rsid w:val="004A1402"/>
    <w:rsid w:val="004A1D4A"/>
    <w:rsid w:val="004A1E62"/>
    <w:rsid w:val="004A269E"/>
    <w:rsid w:val="004A2F63"/>
    <w:rsid w:val="004A335E"/>
    <w:rsid w:val="004A3432"/>
    <w:rsid w:val="004A38D2"/>
    <w:rsid w:val="004A4250"/>
    <w:rsid w:val="004A5A10"/>
    <w:rsid w:val="004A5E9C"/>
    <w:rsid w:val="004A64E7"/>
    <w:rsid w:val="004A6A9A"/>
    <w:rsid w:val="004A74FD"/>
    <w:rsid w:val="004A79E2"/>
    <w:rsid w:val="004B0097"/>
    <w:rsid w:val="004B02EB"/>
    <w:rsid w:val="004B0520"/>
    <w:rsid w:val="004B12B6"/>
    <w:rsid w:val="004B217D"/>
    <w:rsid w:val="004B2BB2"/>
    <w:rsid w:val="004B2E87"/>
    <w:rsid w:val="004B3200"/>
    <w:rsid w:val="004B46F7"/>
    <w:rsid w:val="004B4906"/>
    <w:rsid w:val="004B558D"/>
    <w:rsid w:val="004B55C0"/>
    <w:rsid w:val="004B5782"/>
    <w:rsid w:val="004B5FE8"/>
    <w:rsid w:val="004B60D8"/>
    <w:rsid w:val="004B60F9"/>
    <w:rsid w:val="004B721B"/>
    <w:rsid w:val="004B759A"/>
    <w:rsid w:val="004B773F"/>
    <w:rsid w:val="004B7937"/>
    <w:rsid w:val="004B7B94"/>
    <w:rsid w:val="004B7D26"/>
    <w:rsid w:val="004B7D40"/>
    <w:rsid w:val="004B7E18"/>
    <w:rsid w:val="004C04F8"/>
    <w:rsid w:val="004C05CF"/>
    <w:rsid w:val="004C09A6"/>
    <w:rsid w:val="004C0C15"/>
    <w:rsid w:val="004C1C8A"/>
    <w:rsid w:val="004C40FD"/>
    <w:rsid w:val="004C434A"/>
    <w:rsid w:val="004C44A1"/>
    <w:rsid w:val="004C4815"/>
    <w:rsid w:val="004C540B"/>
    <w:rsid w:val="004C543E"/>
    <w:rsid w:val="004C5D91"/>
    <w:rsid w:val="004C5FD0"/>
    <w:rsid w:val="004C6A03"/>
    <w:rsid w:val="004C7C25"/>
    <w:rsid w:val="004C7CCE"/>
    <w:rsid w:val="004D100D"/>
    <w:rsid w:val="004D151C"/>
    <w:rsid w:val="004D1BD2"/>
    <w:rsid w:val="004D1FFE"/>
    <w:rsid w:val="004D2055"/>
    <w:rsid w:val="004D2273"/>
    <w:rsid w:val="004D22C7"/>
    <w:rsid w:val="004D2922"/>
    <w:rsid w:val="004D297C"/>
    <w:rsid w:val="004D300F"/>
    <w:rsid w:val="004D4310"/>
    <w:rsid w:val="004D4DDF"/>
    <w:rsid w:val="004D6747"/>
    <w:rsid w:val="004D7763"/>
    <w:rsid w:val="004D7D80"/>
    <w:rsid w:val="004E1797"/>
    <w:rsid w:val="004E1B77"/>
    <w:rsid w:val="004E3B71"/>
    <w:rsid w:val="004E3B93"/>
    <w:rsid w:val="004E4E7D"/>
    <w:rsid w:val="004E598E"/>
    <w:rsid w:val="004E6462"/>
    <w:rsid w:val="004E7F06"/>
    <w:rsid w:val="004F0FCC"/>
    <w:rsid w:val="004F12FA"/>
    <w:rsid w:val="004F16BA"/>
    <w:rsid w:val="004F1968"/>
    <w:rsid w:val="004F2699"/>
    <w:rsid w:val="004F2AAD"/>
    <w:rsid w:val="004F403D"/>
    <w:rsid w:val="004F50CB"/>
    <w:rsid w:val="004F584D"/>
    <w:rsid w:val="004F5E34"/>
    <w:rsid w:val="004F6154"/>
    <w:rsid w:val="00500826"/>
    <w:rsid w:val="00500EA5"/>
    <w:rsid w:val="005011A5"/>
    <w:rsid w:val="005015AE"/>
    <w:rsid w:val="00501B84"/>
    <w:rsid w:val="0050231D"/>
    <w:rsid w:val="00502C4D"/>
    <w:rsid w:val="00502F4F"/>
    <w:rsid w:val="0050452C"/>
    <w:rsid w:val="00504C36"/>
    <w:rsid w:val="00504D65"/>
    <w:rsid w:val="00505087"/>
    <w:rsid w:val="0050581A"/>
    <w:rsid w:val="00505B5A"/>
    <w:rsid w:val="00506293"/>
    <w:rsid w:val="00506FBB"/>
    <w:rsid w:val="00507788"/>
    <w:rsid w:val="00510D4B"/>
    <w:rsid w:val="00510EE3"/>
    <w:rsid w:val="0051145D"/>
    <w:rsid w:val="00511982"/>
    <w:rsid w:val="00511E2C"/>
    <w:rsid w:val="005123EA"/>
    <w:rsid w:val="005127C3"/>
    <w:rsid w:val="005129F3"/>
    <w:rsid w:val="00512DD4"/>
    <w:rsid w:val="00513059"/>
    <w:rsid w:val="00513313"/>
    <w:rsid w:val="005139A3"/>
    <w:rsid w:val="0051428E"/>
    <w:rsid w:val="0051434D"/>
    <w:rsid w:val="00514675"/>
    <w:rsid w:val="00515A09"/>
    <w:rsid w:val="00516095"/>
    <w:rsid w:val="00516299"/>
    <w:rsid w:val="0051671B"/>
    <w:rsid w:val="00516FF2"/>
    <w:rsid w:val="00517A36"/>
    <w:rsid w:val="00520B4D"/>
    <w:rsid w:val="00520BA4"/>
    <w:rsid w:val="005226F7"/>
    <w:rsid w:val="0052307A"/>
    <w:rsid w:val="00524064"/>
    <w:rsid w:val="00524C49"/>
    <w:rsid w:val="00525219"/>
    <w:rsid w:val="00525EBD"/>
    <w:rsid w:val="00525ED4"/>
    <w:rsid w:val="0052774B"/>
    <w:rsid w:val="005314AF"/>
    <w:rsid w:val="00533064"/>
    <w:rsid w:val="00533A8D"/>
    <w:rsid w:val="00533B5B"/>
    <w:rsid w:val="005340E1"/>
    <w:rsid w:val="005346F5"/>
    <w:rsid w:val="00535B6F"/>
    <w:rsid w:val="00535CA8"/>
    <w:rsid w:val="00535EF3"/>
    <w:rsid w:val="005367C3"/>
    <w:rsid w:val="005367DA"/>
    <w:rsid w:val="0054040F"/>
    <w:rsid w:val="00540A13"/>
    <w:rsid w:val="00540BDE"/>
    <w:rsid w:val="00541011"/>
    <w:rsid w:val="00541832"/>
    <w:rsid w:val="00541B8B"/>
    <w:rsid w:val="00541BD1"/>
    <w:rsid w:val="005429FF"/>
    <w:rsid w:val="00543BE9"/>
    <w:rsid w:val="005440C4"/>
    <w:rsid w:val="005455C9"/>
    <w:rsid w:val="00546CD9"/>
    <w:rsid w:val="00547644"/>
    <w:rsid w:val="00547B0C"/>
    <w:rsid w:val="00547EB7"/>
    <w:rsid w:val="005501D5"/>
    <w:rsid w:val="005502CF"/>
    <w:rsid w:val="00550671"/>
    <w:rsid w:val="00550D26"/>
    <w:rsid w:val="00550D9B"/>
    <w:rsid w:val="00552268"/>
    <w:rsid w:val="00552A38"/>
    <w:rsid w:val="00552D3A"/>
    <w:rsid w:val="00552FD8"/>
    <w:rsid w:val="0055388A"/>
    <w:rsid w:val="005539CB"/>
    <w:rsid w:val="00553B3D"/>
    <w:rsid w:val="00553BC9"/>
    <w:rsid w:val="00553CFF"/>
    <w:rsid w:val="00554364"/>
    <w:rsid w:val="00554422"/>
    <w:rsid w:val="0055445F"/>
    <w:rsid w:val="00554D5B"/>
    <w:rsid w:val="00555454"/>
    <w:rsid w:val="00555A42"/>
    <w:rsid w:val="00556205"/>
    <w:rsid w:val="0055662A"/>
    <w:rsid w:val="00560A5D"/>
    <w:rsid w:val="00560B2D"/>
    <w:rsid w:val="005634F8"/>
    <w:rsid w:val="00563FC3"/>
    <w:rsid w:val="0056447F"/>
    <w:rsid w:val="00564DC3"/>
    <w:rsid w:val="0056695B"/>
    <w:rsid w:val="005669B6"/>
    <w:rsid w:val="00566BBE"/>
    <w:rsid w:val="005701E8"/>
    <w:rsid w:val="005714D3"/>
    <w:rsid w:val="00572A3B"/>
    <w:rsid w:val="0057480F"/>
    <w:rsid w:val="00574E48"/>
    <w:rsid w:val="00575823"/>
    <w:rsid w:val="0057667B"/>
    <w:rsid w:val="00577042"/>
    <w:rsid w:val="00577B15"/>
    <w:rsid w:val="00577ED9"/>
    <w:rsid w:val="00580B03"/>
    <w:rsid w:val="00580D1E"/>
    <w:rsid w:val="00581AA0"/>
    <w:rsid w:val="005825B4"/>
    <w:rsid w:val="00582FBE"/>
    <w:rsid w:val="00583115"/>
    <w:rsid w:val="00583241"/>
    <w:rsid w:val="005836EB"/>
    <w:rsid w:val="00584184"/>
    <w:rsid w:val="0058582F"/>
    <w:rsid w:val="00585946"/>
    <w:rsid w:val="00586776"/>
    <w:rsid w:val="00587267"/>
    <w:rsid w:val="00590078"/>
    <w:rsid w:val="0059050E"/>
    <w:rsid w:val="00590C99"/>
    <w:rsid w:val="00590F29"/>
    <w:rsid w:val="0059151C"/>
    <w:rsid w:val="00592304"/>
    <w:rsid w:val="005923E6"/>
    <w:rsid w:val="005926CB"/>
    <w:rsid w:val="00592ADC"/>
    <w:rsid w:val="005938CA"/>
    <w:rsid w:val="00593C3C"/>
    <w:rsid w:val="00594C97"/>
    <w:rsid w:val="00595A5B"/>
    <w:rsid w:val="00595FA7"/>
    <w:rsid w:val="005969FC"/>
    <w:rsid w:val="005972D2"/>
    <w:rsid w:val="005977D1"/>
    <w:rsid w:val="00597D19"/>
    <w:rsid w:val="00597E30"/>
    <w:rsid w:val="005A123C"/>
    <w:rsid w:val="005A1930"/>
    <w:rsid w:val="005A1F27"/>
    <w:rsid w:val="005A29FE"/>
    <w:rsid w:val="005A41A6"/>
    <w:rsid w:val="005A4324"/>
    <w:rsid w:val="005A4836"/>
    <w:rsid w:val="005A54EA"/>
    <w:rsid w:val="005A6743"/>
    <w:rsid w:val="005A723D"/>
    <w:rsid w:val="005A7299"/>
    <w:rsid w:val="005A76B3"/>
    <w:rsid w:val="005A7AFB"/>
    <w:rsid w:val="005A7F32"/>
    <w:rsid w:val="005B047D"/>
    <w:rsid w:val="005B1C60"/>
    <w:rsid w:val="005B2A72"/>
    <w:rsid w:val="005B2CF9"/>
    <w:rsid w:val="005B3125"/>
    <w:rsid w:val="005B3617"/>
    <w:rsid w:val="005B4C8F"/>
    <w:rsid w:val="005B52B7"/>
    <w:rsid w:val="005B534B"/>
    <w:rsid w:val="005B539C"/>
    <w:rsid w:val="005B5EFB"/>
    <w:rsid w:val="005B71B1"/>
    <w:rsid w:val="005B76F6"/>
    <w:rsid w:val="005C0047"/>
    <w:rsid w:val="005C011E"/>
    <w:rsid w:val="005C0397"/>
    <w:rsid w:val="005C041C"/>
    <w:rsid w:val="005C0C34"/>
    <w:rsid w:val="005C0F52"/>
    <w:rsid w:val="005C0FF5"/>
    <w:rsid w:val="005C1F3A"/>
    <w:rsid w:val="005C22E1"/>
    <w:rsid w:val="005C2513"/>
    <w:rsid w:val="005C290C"/>
    <w:rsid w:val="005C2F2D"/>
    <w:rsid w:val="005C4006"/>
    <w:rsid w:val="005C4F88"/>
    <w:rsid w:val="005C5432"/>
    <w:rsid w:val="005C5526"/>
    <w:rsid w:val="005C6137"/>
    <w:rsid w:val="005C6645"/>
    <w:rsid w:val="005C6E23"/>
    <w:rsid w:val="005D00A0"/>
    <w:rsid w:val="005D0572"/>
    <w:rsid w:val="005D07F5"/>
    <w:rsid w:val="005D0E1F"/>
    <w:rsid w:val="005D1368"/>
    <w:rsid w:val="005D1622"/>
    <w:rsid w:val="005D2E6F"/>
    <w:rsid w:val="005D36FC"/>
    <w:rsid w:val="005D5741"/>
    <w:rsid w:val="005D6231"/>
    <w:rsid w:val="005D6CC8"/>
    <w:rsid w:val="005D7AC6"/>
    <w:rsid w:val="005D7CF9"/>
    <w:rsid w:val="005E01A1"/>
    <w:rsid w:val="005E0542"/>
    <w:rsid w:val="005E05E9"/>
    <w:rsid w:val="005E0659"/>
    <w:rsid w:val="005E07C4"/>
    <w:rsid w:val="005E1B2A"/>
    <w:rsid w:val="005E28BF"/>
    <w:rsid w:val="005E3794"/>
    <w:rsid w:val="005E473F"/>
    <w:rsid w:val="005E4CBA"/>
    <w:rsid w:val="005E53BF"/>
    <w:rsid w:val="005E5BD0"/>
    <w:rsid w:val="005E7625"/>
    <w:rsid w:val="005E7970"/>
    <w:rsid w:val="005F0986"/>
    <w:rsid w:val="005F1B99"/>
    <w:rsid w:val="005F20ED"/>
    <w:rsid w:val="005F20F4"/>
    <w:rsid w:val="005F23ED"/>
    <w:rsid w:val="005F2BB2"/>
    <w:rsid w:val="005F3C9B"/>
    <w:rsid w:val="005F4CCF"/>
    <w:rsid w:val="005F5741"/>
    <w:rsid w:val="005F5D42"/>
    <w:rsid w:val="005F6112"/>
    <w:rsid w:val="005F731A"/>
    <w:rsid w:val="006018C1"/>
    <w:rsid w:val="00602055"/>
    <w:rsid w:val="006021D8"/>
    <w:rsid w:val="006022AD"/>
    <w:rsid w:val="0060256C"/>
    <w:rsid w:val="0060313D"/>
    <w:rsid w:val="006047D4"/>
    <w:rsid w:val="00604D1C"/>
    <w:rsid w:val="006055B4"/>
    <w:rsid w:val="006121EC"/>
    <w:rsid w:val="00612260"/>
    <w:rsid w:val="006122C6"/>
    <w:rsid w:val="006127DA"/>
    <w:rsid w:val="00612F5E"/>
    <w:rsid w:val="00613045"/>
    <w:rsid w:val="00613207"/>
    <w:rsid w:val="006141B3"/>
    <w:rsid w:val="0061425A"/>
    <w:rsid w:val="0061428A"/>
    <w:rsid w:val="00614B43"/>
    <w:rsid w:val="006151D1"/>
    <w:rsid w:val="006156A0"/>
    <w:rsid w:val="006161D8"/>
    <w:rsid w:val="00616859"/>
    <w:rsid w:val="00616A20"/>
    <w:rsid w:val="00616EB9"/>
    <w:rsid w:val="00617205"/>
    <w:rsid w:val="006178D4"/>
    <w:rsid w:val="00617CC3"/>
    <w:rsid w:val="00617F07"/>
    <w:rsid w:val="00620422"/>
    <w:rsid w:val="00620530"/>
    <w:rsid w:val="00621831"/>
    <w:rsid w:val="00621DAC"/>
    <w:rsid w:val="00622165"/>
    <w:rsid w:val="006225A1"/>
    <w:rsid w:val="006228A5"/>
    <w:rsid w:val="00622E89"/>
    <w:rsid w:val="00622F4B"/>
    <w:rsid w:val="00623B9D"/>
    <w:rsid w:val="00624EDD"/>
    <w:rsid w:val="00625197"/>
    <w:rsid w:val="006251E4"/>
    <w:rsid w:val="00625824"/>
    <w:rsid w:val="006261ED"/>
    <w:rsid w:val="00626499"/>
    <w:rsid w:val="0062708E"/>
    <w:rsid w:val="0062713C"/>
    <w:rsid w:val="00627484"/>
    <w:rsid w:val="00627788"/>
    <w:rsid w:val="0062792E"/>
    <w:rsid w:val="00630AF6"/>
    <w:rsid w:val="00630B97"/>
    <w:rsid w:val="00631267"/>
    <w:rsid w:val="0063336E"/>
    <w:rsid w:val="00634301"/>
    <w:rsid w:val="0063456D"/>
    <w:rsid w:val="00634873"/>
    <w:rsid w:val="0063488A"/>
    <w:rsid w:val="00634F6C"/>
    <w:rsid w:val="00635FCB"/>
    <w:rsid w:val="00636030"/>
    <w:rsid w:val="006368A1"/>
    <w:rsid w:val="00636B59"/>
    <w:rsid w:val="006372BC"/>
    <w:rsid w:val="0063739A"/>
    <w:rsid w:val="00637DD1"/>
    <w:rsid w:val="00640744"/>
    <w:rsid w:val="006417C2"/>
    <w:rsid w:val="006418D2"/>
    <w:rsid w:val="00641B04"/>
    <w:rsid w:val="00641D50"/>
    <w:rsid w:val="0064263A"/>
    <w:rsid w:val="006433BC"/>
    <w:rsid w:val="00643540"/>
    <w:rsid w:val="0064381C"/>
    <w:rsid w:val="0064523C"/>
    <w:rsid w:val="00646E31"/>
    <w:rsid w:val="00650C36"/>
    <w:rsid w:val="006510E1"/>
    <w:rsid w:val="00651466"/>
    <w:rsid w:val="00651B88"/>
    <w:rsid w:val="006528AD"/>
    <w:rsid w:val="0065359C"/>
    <w:rsid w:val="00653BA7"/>
    <w:rsid w:val="00654965"/>
    <w:rsid w:val="00654FCD"/>
    <w:rsid w:val="00655B5B"/>
    <w:rsid w:val="00655E2D"/>
    <w:rsid w:val="00656844"/>
    <w:rsid w:val="00656AA5"/>
    <w:rsid w:val="006573D6"/>
    <w:rsid w:val="00660490"/>
    <w:rsid w:val="006605F8"/>
    <w:rsid w:val="00660830"/>
    <w:rsid w:val="00663C19"/>
    <w:rsid w:val="006641DE"/>
    <w:rsid w:val="006642CA"/>
    <w:rsid w:val="00664755"/>
    <w:rsid w:val="0066515E"/>
    <w:rsid w:val="006661CB"/>
    <w:rsid w:val="00666AC0"/>
    <w:rsid w:val="0066748E"/>
    <w:rsid w:val="00667630"/>
    <w:rsid w:val="006705ED"/>
    <w:rsid w:val="00670715"/>
    <w:rsid w:val="006722CD"/>
    <w:rsid w:val="006734F6"/>
    <w:rsid w:val="006735BA"/>
    <w:rsid w:val="00673BA8"/>
    <w:rsid w:val="00673F76"/>
    <w:rsid w:val="00674325"/>
    <w:rsid w:val="0067437E"/>
    <w:rsid w:val="00676A36"/>
    <w:rsid w:val="00676A52"/>
    <w:rsid w:val="00676B23"/>
    <w:rsid w:val="00677B39"/>
    <w:rsid w:val="006801BC"/>
    <w:rsid w:val="006804AA"/>
    <w:rsid w:val="006810A0"/>
    <w:rsid w:val="006820EB"/>
    <w:rsid w:val="00682395"/>
    <w:rsid w:val="006836D8"/>
    <w:rsid w:val="00684733"/>
    <w:rsid w:val="00684E51"/>
    <w:rsid w:val="00684F8E"/>
    <w:rsid w:val="006852D0"/>
    <w:rsid w:val="00685A13"/>
    <w:rsid w:val="00685B20"/>
    <w:rsid w:val="00685E37"/>
    <w:rsid w:val="00685EDA"/>
    <w:rsid w:val="00686D30"/>
    <w:rsid w:val="00687187"/>
    <w:rsid w:val="00687715"/>
    <w:rsid w:val="006877BE"/>
    <w:rsid w:val="00687A12"/>
    <w:rsid w:val="00690A96"/>
    <w:rsid w:val="006918B2"/>
    <w:rsid w:val="00693812"/>
    <w:rsid w:val="006942C4"/>
    <w:rsid w:val="0069451A"/>
    <w:rsid w:val="006948DE"/>
    <w:rsid w:val="00694AB0"/>
    <w:rsid w:val="006951DF"/>
    <w:rsid w:val="00695658"/>
    <w:rsid w:val="0069595B"/>
    <w:rsid w:val="0069618B"/>
    <w:rsid w:val="006963AB"/>
    <w:rsid w:val="00696942"/>
    <w:rsid w:val="00696BD3"/>
    <w:rsid w:val="00696F90"/>
    <w:rsid w:val="0069729A"/>
    <w:rsid w:val="0069739B"/>
    <w:rsid w:val="00697567"/>
    <w:rsid w:val="006979E7"/>
    <w:rsid w:val="006A0CBC"/>
    <w:rsid w:val="006A11FF"/>
    <w:rsid w:val="006A1714"/>
    <w:rsid w:val="006A29E6"/>
    <w:rsid w:val="006A3173"/>
    <w:rsid w:val="006A39D3"/>
    <w:rsid w:val="006A4C19"/>
    <w:rsid w:val="006A4CDA"/>
    <w:rsid w:val="006A4D46"/>
    <w:rsid w:val="006A4FF9"/>
    <w:rsid w:val="006A5028"/>
    <w:rsid w:val="006A6062"/>
    <w:rsid w:val="006A7030"/>
    <w:rsid w:val="006A74C3"/>
    <w:rsid w:val="006A7A6F"/>
    <w:rsid w:val="006B0916"/>
    <w:rsid w:val="006B18ED"/>
    <w:rsid w:val="006B1E6A"/>
    <w:rsid w:val="006B36FA"/>
    <w:rsid w:val="006B3742"/>
    <w:rsid w:val="006B3797"/>
    <w:rsid w:val="006B4279"/>
    <w:rsid w:val="006B4334"/>
    <w:rsid w:val="006B49DA"/>
    <w:rsid w:val="006B519A"/>
    <w:rsid w:val="006B5633"/>
    <w:rsid w:val="006B66F6"/>
    <w:rsid w:val="006B6C45"/>
    <w:rsid w:val="006B759D"/>
    <w:rsid w:val="006B7E60"/>
    <w:rsid w:val="006C05AB"/>
    <w:rsid w:val="006C0B3F"/>
    <w:rsid w:val="006C152A"/>
    <w:rsid w:val="006C15A5"/>
    <w:rsid w:val="006C18AE"/>
    <w:rsid w:val="006C1E8B"/>
    <w:rsid w:val="006C207E"/>
    <w:rsid w:val="006C21A2"/>
    <w:rsid w:val="006C24A8"/>
    <w:rsid w:val="006C27DC"/>
    <w:rsid w:val="006C34C2"/>
    <w:rsid w:val="006C36F2"/>
    <w:rsid w:val="006C5F10"/>
    <w:rsid w:val="006C7088"/>
    <w:rsid w:val="006C77AA"/>
    <w:rsid w:val="006D0897"/>
    <w:rsid w:val="006D0B97"/>
    <w:rsid w:val="006D1298"/>
    <w:rsid w:val="006D1763"/>
    <w:rsid w:val="006D19A5"/>
    <w:rsid w:val="006D1EFF"/>
    <w:rsid w:val="006D2178"/>
    <w:rsid w:val="006D2825"/>
    <w:rsid w:val="006D2853"/>
    <w:rsid w:val="006D2A94"/>
    <w:rsid w:val="006D3D7E"/>
    <w:rsid w:val="006D44AB"/>
    <w:rsid w:val="006D4802"/>
    <w:rsid w:val="006D5472"/>
    <w:rsid w:val="006D587B"/>
    <w:rsid w:val="006D61F2"/>
    <w:rsid w:val="006D6246"/>
    <w:rsid w:val="006D7127"/>
    <w:rsid w:val="006D7615"/>
    <w:rsid w:val="006D7D36"/>
    <w:rsid w:val="006D7E3C"/>
    <w:rsid w:val="006E1317"/>
    <w:rsid w:val="006E146C"/>
    <w:rsid w:val="006E1914"/>
    <w:rsid w:val="006E1F17"/>
    <w:rsid w:val="006E1F2B"/>
    <w:rsid w:val="006E2A63"/>
    <w:rsid w:val="006E2B58"/>
    <w:rsid w:val="006E3037"/>
    <w:rsid w:val="006E3817"/>
    <w:rsid w:val="006E435C"/>
    <w:rsid w:val="006E4A88"/>
    <w:rsid w:val="006E5672"/>
    <w:rsid w:val="006E5BCF"/>
    <w:rsid w:val="006E70D0"/>
    <w:rsid w:val="006E716A"/>
    <w:rsid w:val="006F03D6"/>
    <w:rsid w:val="006F1729"/>
    <w:rsid w:val="006F1956"/>
    <w:rsid w:val="006F1D07"/>
    <w:rsid w:val="006F1D31"/>
    <w:rsid w:val="006F20E8"/>
    <w:rsid w:val="006F2175"/>
    <w:rsid w:val="006F29E6"/>
    <w:rsid w:val="006F2DCD"/>
    <w:rsid w:val="006F2FD3"/>
    <w:rsid w:val="006F30D2"/>
    <w:rsid w:val="006F339E"/>
    <w:rsid w:val="006F3936"/>
    <w:rsid w:val="006F3B71"/>
    <w:rsid w:val="006F40DC"/>
    <w:rsid w:val="006F46E5"/>
    <w:rsid w:val="006F53A6"/>
    <w:rsid w:val="006F7DE5"/>
    <w:rsid w:val="00700D84"/>
    <w:rsid w:val="00700F80"/>
    <w:rsid w:val="00701E15"/>
    <w:rsid w:val="00702071"/>
    <w:rsid w:val="0070223A"/>
    <w:rsid w:val="00703632"/>
    <w:rsid w:val="00703CC7"/>
    <w:rsid w:val="00703FA2"/>
    <w:rsid w:val="00704D9D"/>
    <w:rsid w:val="0070550D"/>
    <w:rsid w:val="007058FC"/>
    <w:rsid w:val="00705EB7"/>
    <w:rsid w:val="00706F16"/>
    <w:rsid w:val="00707061"/>
    <w:rsid w:val="00707A01"/>
    <w:rsid w:val="007105DA"/>
    <w:rsid w:val="00710C4F"/>
    <w:rsid w:val="00710F02"/>
    <w:rsid w:val="00711099"/>
    <w:rsid w:val="007116D1"/>
    <w:rsid w:val="00711A04"/>
    <w:rsid w:val="00711B83"/>
    <w:rsid w:val="00712843"/>
    <w:rsid w:val="00712BD3"/>
    <w:rsid w:val="007139D3"/>
    <w:rsid w:val="00713F9D"/>
    <w:rsid w:val="0071513F"/>
    <w:rsid w:val="00715267"/>
    <w:rsid w:val="00716560"/>
    <w:rsid w:val="0071670C"/>
    <w:rsid w:val="007173C0"/>
    <w:rsid w:val="00717728"/>
    <w:rsid w:val="007177A1"/>
    <w:rsid w:val="00717EBC"/>
    <w:rsid w:val="00720853"/>
    <w:rsid w:val="00720EA6"/>
    <w:rsid w:val="00721B60"/>
    <w:rsid w:val="00721EFD"/>
    <w:rsid w:val="0072218D"/>
    <w:rsid w:val="007223C4"/>
    <w:rsid w:val="00722D56"/>
    <w:rsid w:val="00722E81"/>
    <w:rsid w:val="00723BC2"/>
    <w:rsid w:val="00723F7C"/>
    <w:rsid w:val="007241B7"/>
    <w:rsid w:val="0072445C"/>
    <w:rsid w:val="00724B62"/>
    <w:rsid w:val="00725419"/>
    <w:rsid w:val="00725917"/>
    <w:rsid w:val="00725DBD"/>
    <w:rsid w:val="007267DF"/>
    <w:rsid w:val="00727516"/>
    <w:rsid w:val="00727F74"/>
    <w:rsid w:val="00730463"/>
    <w:rsid w:val="00730D45"/>
    <w:rsid w:val="007327DB"/>
    <w:rsid w:val="00732A04"/>
    <w:rsid w:val="00732F78"/>
    <w:rsid w:val="00733037"/>
    <w:rsid w:val="007356A5"/>
    <w:rsid w:val="00735856"/>
    <w:rsid w:val="00735E7B"/>
    <w:rsid w:val="00736D19"/>
    <w:rsid w:val="00737042"/>
    <w:rsid w:val="007377B1"/>
    <w:rsid w:val="00737B82"/>
    <w:rsid w:val="00737E18"/>
    <w:rsid w:val="00737E9E"/>
    <w:rsid w:val="00740992"/>
    <w:rsid w:val="007432FB"/>
    <w:rsid w:val="00743F3F"/>
    <w:rsid w:val="00743FA2"/>
    <w:rsid w:val="00744595"/>
    <w:rsid w:val="00744C33"/>
    <w:rsid w:val="007451FA"/>
    <w:rsid w:val="0074588E"/>
    <w:rsid w:val="00746771"/>
    <w:rsid w:val="0074737D"/>
    <w:rsid w:val="00747A16"/>
    <w:rsid w:val="00747C20"/>
    <w:rsid w:val="00747C8B"/>
    <w:rsid w:val="007500B1"/>
    <w:rsid w:val="00750DB9"/>
    <w:rsid w:val="00751C06"/>
    <w:rsid w:val="00752685"/>
    <w:rsid w:val="00752B77"/>
    <w:rsid w:val="007533DA"/>
    <w:rsid w:val="00753473"/>
    <w:rsid w:val="00753A66"/>
    <w:rsid w:val="00753FDC"/>
    <w:rsid w:val="0075462D"/>
    <w:rsid w:val="00754951"/>
    <w:rsid w:val="00755C8B"/>
    <w:rsid w:val="00756C52"/>
    <w:rsid w:val="00756FDE"/>
    <w:rsid w:val="00757875"/>
    <w:rsid w:val="00761136"/>
    <w:rsid w:val="00761D49"/>
    <w:rsid w:val="00763E3D"/>
    <w:rsid w:val="007643D0"/>
    <w:rsid w:val="00764C4F"/>
    <w:rsid w:val="00765154"/>
    <w:rsid w:val="00765D61"/>
    <w:rsid w:val="00765D83"/>
    <w:rsid w:val="00766819"/>
    <w:rsid w:val="00767448"/>
    <w:rsid w:val="00767DBD"/>
    <w:rsid w:val="00767E69"/>
    <w:rsid w:val="0077035A"/>
    <w:rsid w:val="00770E2F"/>
    <w:rsid w:val="007711A9"/>
    <w:rsid w:val="00772055"/>
    <w:rsid w:val="007724A4"/>
    <w:rsid w:val="00772D96"/>
    <w:rsid w:val="00773D86"/>
    <w:rsid w:val="00774430"/>
    <w:rsid w:val="007745E9"/>
    <w:rsid w:val="00774DF9"/>
    <w:rsid w:val="007759D9"/>
    <w:rsid w:val="00776F4D"/>
    <w:rsid w:val="007803B3"/>
    <w:rsid w:val="00781491"/>
    <w:rsid w:val="00781852"/>
    <w:rsid w:val="007824E8"/>
    <w:rsid w:val="00782B73"/>
    <w:rsid w:val="00783709"/>
    <w:rsid w:val="00783F3B"/>
    <w:rsid w:val="007857E8"/>
    <w:rsid w:val="007862D0"/>
    <w:rsid w:val="00787CA8"/>
    <w:rsid w:val="0079008F"/>
    <w:rsid w:val="007908A2"/>
    <w:rsid w:val="00790CF5"/>
    <w:rsid w:val="00791ED9"/>
    <w:rsid w:val="007928A9"/>
    <w:rsid w:val="00792D5D"/>
    <w:rsid w:val="00792E72"/>
    <w:rsid w:val="007938DA"/>
    <w:rsid w:val="0079466C"/>
    <w:rsid w:val="00794802"/>
    <w:rsid w:val="00794D9D"/>
    <w:rsid w:val="0079575E"/>
    <w:rsid w:val="007961DB"/>
    <w:rsid w:val="007965BB"/>
    <w:rsid w:val="007968E5"/>
    <w:rsid w:val="00796B75"/>
    <w:rsid w:val="00797071"/>
    <w:rsid w:val="00797143"/>
    <w:rsid w:val="007971E6"/>
    <w:rsid w:val="007972C4"/>
    <w:rsid w:val="0079755B"/>
    <w:rsid w:val="007A0868"/>
    <w:rsid w:val="007A0C13"/>
    <w:rsid w:val="007A0DAA"/>
    <w:rsid w:val="007A18F7"/>
    <w:rsid w:val="007A31FB"/>
    <w:rsid w:val="007A36F5"/>
    <w:rsid w:val="007A3917"/>
    <w:rsid w:val="007A393F"/>
    <w:rsid w:val="007A4026"/>
    <w:rsid w:val="007A4A0E"/>
    <w:rsid w:val="007A4F2B"/>
    <w:rsid w:val="007A515D"/>
    <w:rsid w:val="007A53D9"/>
    <w:rsid w:val="007A58C7"/>
    <w:rsid w:val="007A58FF"/>
    <w:rsid w:val="007A69DF"/>
    <w:rsid w:val="007A6A75"/>
    <w:rsid w:val="007A72B8"/>
    <w:rsid w:val="007A7548"/>
    <w:rsid w:val="007B0395"/>
    <w:rsid w:val="007B0C76"/>
    <w:rsid w:val="007B0CBA"/>
    <w:rsid w:val="007B1C68"/>
    <w:rsid w:val="007B24B1"/>
    <w:rsid w:val="007B32C4"/>
    <w:rsid w:val="007B4D74"/>
    <w:rsid w:val="007B4EA2"/>
    <w:rsid w:val="007B699A"/>
    <w:rsid w:val="007B69B3"/>
    <w:rsid w:val="007B74A6"/>
    <w:rsid w:val="007B7706"/>
    <w:rsid w:val="007C05D9"/>
    <w:rsid w:val="007C0A72"/>
    <w:rsid w:val="007C147D"/>
    <w:rsid w:val="007C223C"/>
    <w:rsid w:val="007C4320"/>
    <w:rsid w:val="007C4411"/>
    <w:rsid w:val="007C4957"/>
    <w:rsid w:val="007C4A80"/>
    <w:rsid w:val="007C4B07"/>
    <w:rsid w:val="007C56FE"/>
    <w:rsid w:val="007C5DC3"/>
    <w:rsid w:val="007C5FF4"/>
    <w:rsid w:val="007C62E1"/>
    <w:rsid w:val="007C6848"/>
    <w:rsid w:val="007C6925"/>
    <w:rsid w:val="007C7065"/>
    <w:rsid w:val="007C7C53"/>
    <w:rsid w:val="007D0CA8"/>
    <w:rsid w:val="007D0FDC"/>
    <w:rsid w:val="007D1052"/>
    <w:rsid w:val="007D13BE"/>
    <w:rsid w:val="007D14BC"/>
    <w:rsid w:val="007D2211"/>
    <w:rsid w:val="007D2D4D"/>
    <w:rsid w:val="007D36BB"/>
    <w:rsid w:val="007D3D50"/>
    <w:rsid w:val="007D3D8B"/>
    <w:rsid w:val="007D43F4"/>
    <w:rsid w:val="007D45DE"/>
    <w:rsid w:val="007D4759"/>
    <w:rsid w:val="007D47FF"/>
    <w:rsid w:val="007D5A33"/>
    <w:rsid w:val="007D6783"/>
    <w:rsid w:val="007D6A18"/>
    <w:rsid w:val="007D6BEB"/>
    <w:rsid w:val="007E01FB"/>
    <w:rsid w:val="007E06FA"/>
    <w:rsid w:val="007E06FD"/>
    <w:rsid w:val="007E0D6B"/>
    <w:rsid w:val="007E1148"/>
    <w:rsid w:val="007E1DC5"/>
    <w:rsid w:val="007E283E"/>
    <w:rsid w:val="007E2E0C"/>
    <w:rsid w:val="007E2EB3"/>
    <w:rsid w:val="007E40B1"/>
    <w:rsid w:val="007E46E7"/>
    <w:rsid w:val="007E5409"/>
    <w:rsid w:val="007E54A4"/>
    <w:rsid w:val="007E55F7"/>
    <w:rsid w:val="007E602A"/>
    <w:rsid w:val="007E6DB2"/>
    <w:rsid w:val="007E73D1"/>
    <w:rsid w:val="007E7B6E"/>
    <w:rsid w:val="007E7B99"/>
    <w:rsid w:val="007F03E3"/>
    <w:rsid w:val="007F0EBE"/>
    <w:rsid w:val="007F16F2"/>
    <w:rsid w:val="007F2007"/>
    <w:rsid w:val="007F2610"/>
    <w:rsid w:val="007F3872"/>
    <w:rsid w:val="007F39CA"/>
    <w:rsid w:val="007F6D69"/>
    <w:rsid w:val="007F6E66"/>
    <w:rsid w:val="007F7A1F"/>
    <w:rsid w:val="008006B9"/>
    <w:rsid w:val="00800CEF"/>
    <w:rsid w:val="00800F60"/>
    <w:rsid w:val="008012C0"/>
    <w:rsid w:val="00802E89"/>
    <w:rsid w:val="00802F3C"/>
    <w:rsid w:val="00803357"/>
    <w:rsid w:val="00804012"/>
    <w:rsid w:val="0080742E"/>
    <w:rsid w:val="0080754E"/>
    <w:rsid w:val="00811CA4"/>
    <w:rsid w:val="0081204A"/>
    <w:rsid w:val="00812382"/>
    <w:rsid w:val="00812588"/>
    <w:rsid w:val="00812ACB"/>
    <w:rsid w:val="00812D6C"/>
    <w:rsid w:val="00813062"/>
    <w:rsid w:val="0081501D"/>
    <w:rsid w:val="00815DAA"/>
    <w:rsid w:val="00816AFF"/>
    <w:rsid w:val="00816C4C"/>
    <w:rsid w:val="008177B1"/>
    <w:rsid w:val="0082003C"/>
    <w:rsid w:val="00820783"/>
    <w:rsid w:val="0082166B"/>
    <w:rsid w:val="008219DF"/>
    <w:rsid w:val="00821D37"/>
    <w:rsid w:val="00823426"/>
    <w:rsid w:val="00823868"/>
    <w:rsid w:val="008249B3"/>
    <w:rsid w:val="0082579A"/>
    <w:rsid w:val="00826240"/>
    <w:rsid w:val="00826418"/>
    <w:rsid w:val="00826852"/>
    <w:rsid w:val="00826889"/>
    <w:rsid w:val="008276A9"/>
    <w:rsid w:val="00827865"/>
    <w:rsid w:val="00827F76"/>
    <w:rsid w:val="00830812"/>
    <w:rsid w:val="008308C3"/>
    <w:rsid w:val="00830F7A"/>
    <w:rsid w:val="0083131C"/>
    <w:rsid w:val="0083184C"/>
    <w:rsid w:val="00831C52"/>
    <w:rsid w:val="00832EDC"/>
    <w:rsid w:val="008343FF"/>
    <w:rsid w:val="00834762"/>
    <w:rsid w:val="008353A3"/>
    <w:rsid w:val="00837708"/>
    <w:rsid w:val="00837D5C"/>
    <w:rsid w:val="00837F35"/>
    <w:rsid w:val="008418B6"/>
    <w:rsid w:val="0084245B"/>
    <w:rsid w:val="00842E84"/>
    <w:rsid w:val="008446BC"/>
    <w:rsid w:val="008449B0"/>
    <w:rsid w:val="00844B1E"/>
    <w:rsid w:val="00844D19"/>
    <w:rsid w:val="008455F8"/>
    <w:rsid w:val="00846746"/>
    <w:rsid w:val="00850038"/>
    <w:rsid w:val="0085003C"/>
    <w:rsid w:val="008508C7"/>
    <w:rsid w:val="0085126F"/>
    <w:rsid w:val="00851356"/>
    <w:rsid w:val="0085253B"/>
    <w:rsid w:val="0085297C"/>
    <w:rsid w:val="00852EBD"/>
    <w:rsid w:val="00853CA4"/>
    <w:rsid w:val="008542BA"/>
    <w:rsid w:val="00854B1A"/>
    <w:rsid w:val="00854F91"/>
    <w:rsid w:val="00854FB4"/>
    <w:rsid w:val="008553C2"/>
    <w:rsid w:val="008556DA"/>
    <w:rsid w:val="00855DC7"/>
    <w:rsid w:val="0085693E"/>
    <w:rsid w:val="00856A69"/>
    <w:rsid w:val="00856DF6"/>
    <w:rsid w:val="008613E0"/>
    <w:rsid w:val="0086184C"/>
    <w:rsid w:val="00862DD1"/>
    <w:rsid w:val="00862E51"/>
    <w:rsid w:val="00863CCE"/>
    <w:rsid w:val="008653D3"/>
    <w:rsid w:val="0086622C"/>
    <w:rsid w:val="0086690A"/>
    <w:rsid w:val="00866B07"/>
    <w:rsid w:val="00871F7A"/>
    <w:rsid w:val="00872481"/>
    <w:rsid w:val="00872AEF"/>
    <w:rsid w:val="00873BA3"/>
    <w:rsid w:val="00874126"/>
    <w:rsid w:val="00874B78"/>
    <w:rsid w:val="00874D6B"/>
    <w:rsid w:val="00875124"/>
    <w:rsid w:val="00876BAA"/>
    <w:rsid w:val="00877AED"/>
    <w:rsid w:val="008807E0"/>
    <w:rsid w:val="00880BD6"/>
    <w:rsid w:val="00880F2A"/>
    <w:rsid w:val="00881147"/>
    <w:rsid w:val="00883273"/>
    <w:rsid w:val="00883F38"/>
    <w:rsid w:val="008841CE"/>
    <w:rsid w:val="00885072"/>
    <w:rsid w:val="0088594F"/>
    <w:rsid w:val="00885B3C"/>
    <w:rsid w:val="00886AFF"/>
    <w:rsid w:val="00886C8D"/>
    <w:rsid w:val="00886D2E"/>
    <w:rsid w:val="00887DBA"/>
    <w:rsid w:val="0089022A"/>
    <w:rsid w:val="008907E4"/>
    <w:rsid w:val="00891B13"/>
    <w:rsid w:val="00891E57"/>
    <w:rsid w:val="00893F3A"/>
    <w:rsid w:val="00895149"/>
    <w:rsid w:val="00895362"/>
    <w:rsid w:val="00895393"/>
    <w:rsid w:val="008954BD"/>
    <w:rsid w:val="00895EF0"/>
    <w:rsid w:val="008960BF"/>
    <w:rsid w:val="0089665A"/>
    <w:rsid w:val="0089747C"/>
    <w:rsid w:val="00897975"/>
    <w:rsid w:val="00897F9D"/>
    <w:rsid w:val="008A022B"/>
    <w:rsid w:val="008A02D5"/>
    <w:rsid w:val="008A0686"/>
    <w:rsid w:val="008A1012"/>
    <w:rsid w:val="008A11BD"/>
    <w:rsid w:val="008A2E52"/>
    <w:rsid w:val="008A2ED7"/>
    <w:rsid w:val="008A5988"/>
    <w:rsid w:val="008A6672"/>
    <w:rsid w:val="008A79AE"/>
    <w:rsid w:val="008B165D"/>
    <w:rsid w:val="008B1B3F"/>
    <w:rsid w:val="008B21DF"/>
    <w:rsid w:val="008B3519"/>
    <w:rsid w:val="008B3A40"/>
    <w:rsid w:val="008B4445"/>
    <w:rsid w:val="008B4E98"/>
    <w:rsid w:val="008B6614"/>
    <w:rsid w:val="008B68B1"/>
    <w:rsid w:val="008B708A"/>
    <w:rsid w:val="008B7C8F"/>
    <w:rsid w:val="008C05B6"/>
    <w:rsid w:val="008C072F"/>
    <w:rsid w:val="008C420F"/>
    <w:rsid w:val="008C4F54"/>
    <w:rsid w:val="008C562C"/>
    <w:rsid w:val="008C5C74"/>
    <w:rsid w:val="008C5C96"/>
    <w:rsid w:val="008C667F"/>
    <w:rsid w:val="008C6C10"/>
    <w:rsid w:val="008C7C47"/>
    <w:rsid w:val="008C7DB3"/>
    <w:rsid w:val="008D09B8"/>
    <w:rsid w:val="008D1252"/>
    <w:rsid w:val="008D17A5"/>
    <w:rsid w:val="008D1EA4"/>
    <w:rsid w:val="008D2398"/>
    <w:rsid w:val="008D2625"/>
    <w:rsid w:val="008D30AF"/>
    <w:rsid w:val="008D496C"/>
    <w:rsid w:val="008D4F48"/>
    <w:rsid w:val="008D5A69"/>
    <w:rsid w:val="008D68B2"/>
    <w:rsid w:val="008D6B63"/>
    <w:rsid w:val="008D7780"/>
    <w:rsid w:val="008D78CF"/>
    <w:rsid w:val="008E01C4"/>
    <w:rsid w:val="008E18A6"/>
    <w:rsid w:val="008E221C"/>
    <w:rsid w:val="008E3CE2"/>
    <w:rsid w:val="008E5AA7"/>
    <w:rsid w:val="008E6620"/>
    <w:rsid w:val="008E68E3"/>
    <w:rsid w:val="008E7C7B"/>
    <w:rsid w:val="008E7FD2"/>
    <w:rsid w:val="008F171D"/>
    <w:rsid w:val="008F225D"/>
    <w:rsid w:val="008F2F4F"/>
    <w:rsid w:val="008F334F"/>
    <w:rsid w:val="008F3781"/>
    <w:rsid w:val="008F42F8"/>
    <w:rsid w:val="008F4DD7"/>
    <w:rsid w:val="008F64D9"/>
    <w:rsid w:val="008F684A"/>
    <w:rsid w:val="008F6967"/>
    <w:rsid w:val="008F74A6"/>
    <w:rsid w:val="0090021B"/>
    <w:rsid w:val="0090064F"/>
    <w:rsid w:val="00900E5B"/>
    <w:rsid w:val="00901AF4"/>
    <w:rsid w:val="009037BA"/>
    <w:rsid w:val="0090396E"/>
    <w:rsid w:val="00904980"/>
    <w:rsid w:val="00904FB1"/>
    <w:rsid w:val="009053C9"/>
    <w:rsid w:val="00905E24"/>
    <w:rsid w:val="00906731"/>
    <w:rsid w:val="00907553"/>
    <w:rsid w:val="00907770"/>
    <w:rsid w:val="00911E90"/>
    <w:rsid w:val="00912D28"/>
    <w:rsid w:val="0091380F"/>
    <w:rsid w:val="00914306"/>
    <w:rsid w:val="00914608"/>
    <w:rsid w:val="009147C0"/>
    <w:rsid w:val="00916992"/>
    <w:rsid w:val="00916A14"/>
    <w:rsid w:val="00916FF5"/>
    <w:rsid w:val="009176AF"/>
    <w:rsid w:val="00917D99"/>
    <w:rsid w:val="00920913"/>
    <w:rsid w:val="00921803"/>
    <w:rsid w:val="009219E9"/>
    <w:rsid w:val="00921CFB"/>
    <w:rsid w:val="00923208"/>
    <w:rsid w:val="009252E2"/>
    <w:rsid w:val="0092541D"/>
    <w:rsid w:val="00925897"/>
    <w:rsid w:val="009258D1"/>
    <w:rsid w:val="00925BFD"/>
    <w:rsid w:val="00926470"/>
    <w:rsid w:val="0092720F"/>
    <w:rsid w:val="00931293"/>
    <w:rsid w:val="00931BF8"/>
    <w:rsid w:val="0093296A"/>
    <w:rsid w:val="00933DAB"/>
    <w:rsid w:val="0093435A"/>
    <w:rsid w:val="00934389"/>
    <w:rsid w:val="00935330"/>
    <w:rsid w:val="009353A4"/>
    <w:rsid w:val="00935444"/>
    <w:rsid w:val="00935C82"/>
    <w:rsid w:val="0093674E"/>
    <w:rsid w:val="009367ED"/>
    <w:rsid w:val="00936B81"/>
    <w:rsid w:val="00936CAA"/>
    <w:rsid w:val="00937597"/>
    <w:rsid w:val="00937C99"/>
    <w:rsid w:val="00937CCE"/>
    <w:rsid w:val="00937E22"/>
    <w:rsid w:val="00940FF1"/>
    <w:rsid w:val="0094105C"/>
    <w:rsid w:val="009419BF"/>
    <w:rsid w:val="00941C12"/>
    <w:rsid w:val="00942D92"/>
    <w:rsid w:val="0094446A"/>
    <w:rsid w:val="009445B0"/>
    <w:rsid w:val="00945048"/>
    <w:rsid w:val="00945C6C"/>
    <w:rsid w:val="00946120"/>
    <w:rsid w:val="00946A39"/>
    <w:rsid w:val="00947EE7"/>
    <w:rsid w:val="009505A8"/>
    <w:rsid w:val="009509C4"/>
    <w:rsid w:val="00950AB3"/>
    <w:rsid w:val="00951D5F"/>
    <w:rsid w:val="00952496"/>
    <w:rsid w:val="00952C1A"/>
    <w:rsid w:val="00952E2A"/>
    <w:rsid w:val="00952EB2"/>
    <w:rsid w:val="00953CAC"/>
    <w:rsid w:val="00955CEE"/>
    <w:rsid w:val="00957EF9"/>
    <w:rsid w:val="009602C0"/>
    <w:rsid w:val="00960E67"/>
    <w:rsid w:val="00962709"/>
    <w:rsid w:val="0096370C"/>
    <w:rsid w:val="00964366"/>
    <w:rsid w:val="009648C1"/>
    <w:rsid w:val="009649ED"/>
    <w:rsid w:val="00965484"/>
    <w:rsid w:val="00965639"/>
    <w:rsid w:val="00965A0B"/>
    <w:rsid w:val="00965DC8"/>
    <w:rsid w:val="00966361"/>
    <w:rsid w:val="00966725"/>
    <w:rsid w:val="00966733"/>
    <w:rsid w:val="00970308"/>
    <w:rsid w:val="0097105C"/>
    <w:rsid w:val="009710AC"/>
    <w:rsid w:val="00971736"/>
    <w:rsid w:val="009718D2"/>
    <w:rsid w:val="00971CC5"/>
    <w:rsid w:val="00972220"/>
    <w:rsid w:val="009728E6"/>
    <w:rsid w:val="009739F9"/>
    <w:rsid w:val="009741B4"/>
    <w:rsid w:val="00974948"/>
    <w:rsid w:val="00976566"/>
    <w:rsid w:val="00976825"/>
    <w:rsid w:val="009778B2"/>
    <w:rsid w:val="00977FC8"/>
    <w:rsid w:val="00980805"/>
    <w:rsid w:val="009808C4"/>
    <w:rsid w:val="00980FA3"/>
    <w:rsid w:val="00981117"/>
    <w:rsid w:val="0098126D"/>
    <w:rsid w:val="009816D4"/>
    <w:rsid w:val="009834BF"/>
    <w:rsid w:val="00983931"/>
    <w:rsid w:val="009840F6"/>
    <w:rsid w:val="00984CA0"/>
    <w:rsid w:val="009857F3"/>
    <w:rsid w:val="009861E0"/>
    <w:rsid w:val="009868C4"/>
    <w:rsid w:val="00986AFC"/>
    <w:rsid w:val="0099059D"/>
    <w:rsid w:val="00990827"/>
    <w:rsid w:val="00991413"/>
    <w:rsid w:val="00991536"/>
    <w:rsid w:val="00994682"/>
    <w:rsid w:val="009954C1"/>
    <w:rsid w:val="00995FD6"/>
    <w:rsid w:val="009960CE"/>
    <w:rsid w:val="00996252"/>
    <w:rsid w:val="009A05EC"/>
    <w:rsid w:val="009A0F11"/>
    <w:rsid w:val="009A18BC"/>
    <w:rsid w:val="009A1F02"/>
    <w:rsid w:val="009A2441"/>
    <w:rsid w:val="009A2692"/>
    <w:rsid w:val="009A2B41"/>
    <w:rsid w:val="009A4FB4"/>
    <w:rsid w:val="009A6299"/>
    <w:rsid w:val="009A62DF"/>
    <w:rsid w:val="009A7419"/>
    <w:rsid w:val="009A7558"/>
    <w:rsid w:val="009B0542"/>
    <w:rsid w:val="009B0624"/>
    <w:rsid w:val="009B0940"/>
    <w:rsid w:val="009B0F6C"/>
    <w:rsid w:val="009B1D7E"/>
    <w:rsid w:val="009B2837"/>
    <w:rsid w:val="009B2A3D"/>
    <w:rsid w:val="009B2ADF"/>
    <w:rsid w:val="009B2FF0"/>
    <w:rsid w:val="009B686D"/>
    <w:rsid w:val="009B6CA0"/>
    <w:rsid w:val="009B74E6"/>
    <w:rsid w:val="009B78E6"/>
    <w:rsid w:val="009C1E78"/>
    <w:rsid w:val="009C2348"/>
    <w:rsid w:val="009C266C"/>
    <w:rsid w:val="009C2C84"/>
    <w:rsid w:val="009C3138"/>
    <w:rsid w:val="009C3908"/>
    <w:rsid w:val="009C4CD6"/>
    <w:rsid w:val="009C54D4"/>
    <w:rsid w:val="009C55C7"/>
    <w:rsid w:val="009C6162"/>
    <w:rsid w:val="009C64CB"/>
    <w:rsid w:val="009C740E"/>
    <w:rsid w:val="009D03F0"/>
    <w:rsid w:val="009D0514"/>
    <w:rsid w:val="009D0517"/>
    <w:rsid w:val="009D1877"/>
    <w:rsid w:val="009D2995"/>
    <w:rsid w:val="009D4169"/>
    <w:rsid w:val="009D4BA2"/>
    <w:rsid w:val="009D57FF"/>
    <w:rsid w:val="009D5A5D"/>
    <w:rsid w:val="009D60EF"/>
    <w:rsid w:val="009D64AB"/>
    <w:rsid w:val="009D65A8"/>
    <w:rsid w:val="009E01FB"/>
    <w:rsid w:val="009E025D"/>
    <w:rsid w:val="009E03F9"/>
    <w:rsid w:val="009E06FB"/>
    <w:rsid w:val="009E098E"/>
    <w:rsid w:val="009E0B91"/>
    <w:rsid w:val="009E1401"/>
    <w:rsid w:val="009E1D08"/>
    <w:rsid w:val="009E208C"/>
    <w:rsid w:val="009E289C"/>
    <w:rsid w:val="009E3857"/>
    <w:rsid w:val="009E491C"/>
    <w:rsid w:val="009E4EDC"/>
    <w:rsid w:val="009E523C"/>
    <w:rsid w:val="009E540D"/>
    <w:rsid w:val="009E5459"/>
    <w:rsid w:val="009E5867"/>
    <w:rsid w:val="009E6EA8"/>
    <w:rsid w:val="009E7231"/>
    <w:rsid w:val="009F05D1"/>
    <w:rsid w:val="009F0DF1"/>
    <w:rsid w:val="009F1027"/>
    <w:rsid w:val="009F24C8"/>
    <w:rsid w:val="009F3153"/>
    <w:rsid w:val="009F3B0C"/>
    <w:rsid w:val="009F3C56"/>
    <w:rsid w:val="009F4D1A"/>
    <w:rsid w:val="009F56B2"/>
    <w:rsid w:val="009F593E"/>
    <w:rsid w:val="009F5CFD"/>
    <w:rsid w:val="009F60DE"/>
    <w:rsid w:val="009F7C8F"/>
    <w:rsid w:val="00A00174"/>
    <w:rsid w:val="00A00183"/>
    <w:rsid w:val="00A00602"/>
    <w:rsid w:val="00A00F83"/>
    <w:rsid w:val="00A011A9"/>
    <w:rsid w:val="00A01963"/>
    <w:rsid w:val="00A01BED"/>
    <w:rsid w:val="00A01DAD"/>
    <w:rsid w:val="00A026A4"/>
    <w:rsid w:val="00A0278D"/>
    <w:rsid w:val="00A02BD1"/>
    <w:rsid w:val="00A02C32"/>
    <w:rsid w:val="00A02F2D"/>
    <w:rsid w:val="00A03E01"/>
    <w:rsid w:val="00A0459F"/>
    <w:rsid w:val="00A04FE7"/>
    <w:rsid w:val="00A05249"/>
    <w:rsid w:val="00A05256"/>
    <w:rsid w:val="00A057AC"/>
    <w:rsid w:val="00A057C8"/>
    <w:rsid w:val="00A05A17"/>
    <w:rsid w:val="00A07656"/>
    <w:rsid w:val="00A077C0"/>
    <w:rsid w:val="00A07EA6"/>
    <w:rsid w:val="00A07FDE"/>
    <w:rsid w:val="00A10114"/>
    <w:rsid w:val="00A1101A"/>
    <w:rsid w:val="00A11894"/>
    <w:rsid w:val="00A11C24"/>
    <w:rsid w:val="00A11F6D"/>
    <w:rsid w:val="00A12F3C"/>
    <w:rsid w:val="00A131B5"/>
    <w:rsid w:val="00A1321E"/>
    <w:rsid w:val="00A136BE"/>
    <w:rsid w:val="00A13E03"/>
    <w:rsid w:val="00A13FB5"/>
    <w:rsid w:val="00A15455"/>
    <w:rsid w:val="00A15473"/>
    <w:rsid w:val="00A157AB"/>
    <w:rsid w:val="00A15F20"/>
    <w:rsid w:val="00A167D2"/>
    <w:rsid w:val="00A16DD4"/>
    <w:rsid w:val="00A170EA"/>
    <w:rsid w:val="00A175FB"/>
    <w:rsid w:val="00A17C4E"/>
    <w:rsid w:val="00A17EA9"/>
    <w:rsid w:val="00A20CF9"/>
    <w:rsid w:val="00A22770"/>
    <w:rsid w:val="00A22E58"/>
    <w:rsid w:val="00A235F1"/>
    <w:rsid w:val="00A237D4"/>
    <w:rsid w:val="00A23DD9"/>
    <w:rsid w:val="00A25257"/>
    <w:rsid w:val="00A25538"/>
    <w:rsid w:val="00A25B15"/>
    <w:rsid w:val="00A26F8A"/>
    <w:rsid w:val="00A27091"/>
    <w:rsid w:val="00A30066"/>
    <w:rsid w:val="00A30CE3"/>
    <w:rsid w:val="00A30FC4"/>
    <w:rsid w:val="00A3140E"/>
    <w:rsid w:val="00A32483"/>
    <w:rsid w:val="00A32A5D"/>
    <w:rsid w:val="00A330ED"/>
    <w:rsid w:val="00A339A7"/>
    <w:rsid w:val="00A33C2E"/>
    <w:rsid w:val="00A33F80"/>
    <w:rsid w:val="00A34200"/>
    <w:rsid w:val="00A3476B"/>
    <w:rsid w:val="00A34973"/>
    <w:rsid w:val="00A3545D"/>
    <w:rsid w:val="00A35550"/>
    <w:rsid w:val="00A3589F"/>
    <w:rsid w:val="00A35FED"/>
    <w:rsid w:val="00A3676A"/>
    <w:rsid w:val="00A37B53"/>
    <w:rsid w:val="00A401F4"/>
    <w:rsid w:val="00A41932"/>
    <w:rsid w:val="00A4232F"/>
    <w:rsid w:val="00A431A7"/>
    <w:rsid w:val="00A43E37"/>
    <w:rsid w:val="00A44583"/>
    <w:rsid w:val="00A446A5"/>
    <w:rsid w:val="00A452DE"/>
    <w:rsid w:val="00A45454"/>
    <w:rsid w:val="00A45988"/>
    <w:rsid w:val="00A4672A"/>
    <w:rsid w:val="00A4690B"/>
    <w:rsid w:val="00A47F5D"/>
    <w:rsid w:val="00A47FAD"/>
    <w:rsid w:val="00A50D11"/>
    <w:rsid w:val="00A5163D"/>
    <w:rsid w:val="00A518CD"/>
    <w:rsid w:val="00A52209"/>
    <w:rsid w:val="00A528EB"/>
    <w:rsid w:val="00A538CA"/>
    <w:rsid w:val="00A541ED"/>
    <w:rsid w:val="00A54E40"/>
    <w:rsid w:val="00A55937"/>
    <w:rsid w:val="00A56230"/>
    <w:rsid w:val="00A577D9"/>
    <w:rsid w:val="00A57A58"/>
    <w:rsid w:val="00A57CBA"/>
    <w:rsid w:val="00A57D63"/>
    <w:rsid w:val="00A57F36"/>
    <w:rsid w:val="00A57FA6"/>
    <w:rsid w:val="00A6003A"/>
    <w:rsid w:val="00A60B4C"/>
    <w:rsid w:val="00A60EB2"/>
    <w:rsid w:val="00A6143A"/>
    <w:rsid w:val="00A61E72"/>
    <w:rsid w:val="00A62DCC"/>
    <w:rsid w:val="00A634C8"/>
    <w:rsid w:val="00A67CBD"/>
    <w:rsid w:val="00A67CD8"/>
    <w:rsid w:val="00A70DC7"/>
    <w:rsid w:val="00A70FEE"/>
    <w:rsid w:val="00A7138C"/>
    <w:rsid w:val="00A714AD"/>
    <w:rsid w:val="00A71689"/>
    <w:rsid w:val="00A716C7"/>
    <w:rsid w:val="00A716DC"/>
    <w:rsid w:val="00A7325A"/>
    <w:rsid w:val="00A7493A"/>
    <w:rsid w:val="00A75925"/>
    <w:rsid w:val="00A75F90"/>
    <w:rsid w:val="00A771B5"/>
    <w:rsid w:val="00A810A5"/>
    <w:rsid w:val="00A820F2"/>
    <w:rsid w:val="00A83B25"/>
    <w:rsid w:val="00A84001"/>
    <w:rsid w:val="00A84157"/>
    <w:rsid w:val="00A8482E"/>
    <w:rsid w:val="00A84892"/>
    <w:rsid w:val="00A849E1"/>
    <w:rsid w:val="00A85DC8"/>
    <w:rsid w:val="00A86031"/>
    <w:rsid w:val="00A861A1"/>
    <w:rsid w:val="00A86BA4"/>
    <w:rsid w:val="00A9006D"/>
    <w:rsid w:val="00A903FA"/>
    <w:rsid w:val="00A91204"/>
    <w:rsid w:val="00A91B42"/>
    <w:rsid w:val="00A93288"/>
    <w:rsid w:val="00A942CF"/>
    <w:rsid w:val="00A957D9"/>
    <w:rsid w:val="00A959B6"/>
    <w:rsid w:val="00A9637F"/>
    <w:rsid w:val="00A97235"/>
    <w:rsid w:val="00A97DE6"/>
    <w:rsid w:val="00AA0902"/>
    <w:rsid w:val="00AA0DCA"/>
    <w:rsid w:val="00AA1109"/>
    <w:rsid w:val="00AA3287"/>
    <w:rsid w:val="00AA3802"/>
    <w:rsid w:val="00AA3881"/>
    <w:rsid w:val="00AA3AE6"/>
    <w:rsid w:val="00AA5071"/>
    <w:rsid w:val="00AA679C"/>
    <w:rsid w:val="00AA6DD1"/>
    <w:rsid w:val="00AA7531"/>
    <w:rsid w:val="00AA7807"/>
    <w:rsid w:val="00AB01F9"/>
    <w:rsid w:val="00AB0899"/>
    <w:rsid w:val="00AB1752"/>
    <w:rsid w:val="00AB1D5C"/>
    <w:rsid w:val="00AB27E3"/>
    <w:rsid w:val="00AB2A01"/>
    <w:rsid w:val="00AB2DF7"/>
    <w:rsid w:val="00AB3369"/>
    <w:rsid w:val="00AB34DB"/>
    <w:rsid w:val="00AB75E9"/>
    <w:rsid w:val="00AB7FD5"/>
    <w:rsid w:val="00AC117B"/>
    <w:rsid w:val="00AC1BC0"/>
    <w:rsid w:val="00AC40C3"/>
    <w:rsid w:val="00AC419C"/>
    <w:rsid w:val="00AC4522"/>
    <w:rsid w:val="00AC4611"/>
    <w:rsid w:val="00AC5C33"/>
    <w:rsid w:val="00AC6DCC"/>
    <w:rsid w:val="00AC7B22"/>
    <w:rsid w:val="00AC7E71"/>
    <w:rsid w:val="00AD00A0"/>
    <w:rsid w:val="00AD0328"/>
    <w:rsid w:val="00AD0730"/>
    <w:rsid w:val="00AD0A28"/>
    <w:rsid w:val="00AD18A7"/>
    <w:rsid w:val="00AD319C"/>
    <w:rsid w:val="00AD37D1"/>
    <w:rsid w:val="00AD38F9"/>
    <w:rsid w:val="00AD3BC8"/>
    <w:rsid w:val="00AD3C99"/>
    <w:rsid w:val="00AD4363"/>
    <w:rsid w:val="00AD4B11"/>
    <w:rsid w:val="00AD52EA"/>
    <w:rsid w:val="00AD5E77"/>
    <w:rsid w:val="00AD73E0"/>
    <w:rsid w:val="00AE00EE"/>
    <w:rsid w:val="00AE0B96"/>
    <w:rsid w:val="00AE1BCA"/>
    <w:rsid w:val="00AE1DA6"/>
    <w:rsid w:val="00AE1EF4"/>
    <w:rsid w:val="00AE2BBB"/>
    <w:rsid w:val="00AE2FF7"/>
    <w:rsid w:val="00AE407F"/>
    <w:rsid w:val="00AE44D0"/>
    <w:rsid w:val="00AE52D1"/>
    <w:rsid w:val="00AE5A4B"/>
    <w:rsid w:val="00AE5E17"/>
    <w:rsid w:val="00AE648E"/>
    <w:rsid w:val="00AE6631"/>
    <w:rsid w:val="00AE6D53"/>
    <w:rsid w:val="00AE7218"/>
    <w:rsid w:val="00AE76A5"/>
    <w:rsid w:val="00AE7A05"/>
    <w:rsid w:val="00AE7F8E"/>
    <w:rsid w:val="00AF03ED"/>
    <w:rsid w:val="00AF06C0"/>
    <w:rsid w:val="00AF1229"/>
    <w:rsid w:val="00AF19C9"/>
    <w:rsid w:val="00AF2095"/>
    <w:rsid w:val="00AF2236"/>
    <w:rsid w:val="00AF2E44"/>
    <w:rsid w:val="00AF308A"/>
    <w:rsid w:val="00AF31D1"/>
    <w:rsid w:val="00AF3BD5"/>
    <w:rsid w:val="00AF4125"/>
    <w:rsid w:val="00AF4700"/>
    <w:rsid w:val="00AF4C89"/>
    <w:rsid w:val="00AF4D7E"/>
    <w:rsid w:val="00AF52CF"/>
    <w:rsid w:val="00AF61FC"/>
    <w:rsid w:val="00AF66B2"/>
    <w:rsid w:val="00AF6AE3"/>
    <w:rsid w:val="00AF72E7"/>
    <w:rsid w:val="00AF737C"/>
    <w:rsid w:val="00AF7B6B"/>
    <w:rsid w:val="00B01B4C"/>
    <w:rsid w:val="00B0229B"/>
    <w:rsid w:val="00B03014"/>
    <w:rsid w:val="00B03089"/>
    <w:rsid w:val="00B05FA2"/>
    <w:rsid w:val="00B0644F"/>
    <w:rsid w:val="00B07D2E"/>
    <w:rsid w:val="00B10E8B"/>
    <w:rsid w:val="00B11CB4"/>
    <w:rsid w:val="00B12A2C"/>
    <w:rsid w:val="00B13009"/>
    <w:rsid w:val="00B14F7A"/>
    <w:rsid w:val="00B15C2A"/>
    <w:rsid w:val="00B1744B"/>
    <w:rsid w:val="00B202C5"/>
    <w:rsid w:val="00B20B38"/>
    <w:rsid w:val="00B21AB3"/>
    <w:rsid w:val="00B22DAC"/>
    <w:rsid w:val="00B23FD5"/>
    <w:rsid w:val="00B260E6"/>
    <w:rsid w:val="00B261E0"/>
    <w:rsid w:val="00B3077F"/>
    <w:rsid w:val="00B30900"/>
    <w:rsid w:val="00B332A5"/>
    <w:rsid w:val="00B33958"/>
    <w:rsid w:val="00B33DD1"/>
    <w:rsid w:val="00B3415C"/>
    <w:rsid w:val="00B343F8"/>
    <w:rsid w:val="00B34486"/>
    <w:rsid w:val="00B34640"/>
    <w:rsid w:val="00B34794"/>
    <w:rsid w:val="00B3510B"/>
    <w:rsid w:val="00B35396"/>
    <w:rsid w:val="00B35593"/>
    <w:rsid w:val="00B3581B"/>
    <w:rsid w:val="00B35960"/>
    <w:rsid w:val="00B35C41"/>
    <w:rsid w:val="00B3678E"/>
    <w:rsid w:val="00B36BC9"/>
    <w:rsid w:val="00B372B9"/>
    <w:rsid w:val="00B37700"/>
    <w:rsid w:val="00B37C60"/>
    <w:rsid w:val="00B37F4C"/>
    <w:rsid w:val="00B40087"/>
    <w:rsid w:val="00B421A1"/>
    <w:rsid w:val="00B42883"/>
    <w:rsid w:val="00B429D3"/>
    <w:rsid w:val="00B43319"/>
    <w:rsid w:val="00B44142"/>
    <w:rsid w:val="00B44D63"/>
    <w:rsid w:val="00B4544D"/>
    <w:rsid w:val="00B462F8"/>
    <w:rsid w:val="00B46724"/>
    <w:rsid w:val="00B469FB"/>
    <w:rsid w:val="00B47C2D"/>
    <w:rsid w:val="00B503FF"/>
    <w:rsid w:val="00B50834"/>
    <w:rsid w:val="00B50956"/>
    <w:rsid w:val="00B5242D"/>
    <w:rsid w:val="00B52F53"/>
    <w:rsid w:val="00B53A02"/>
    <w:rsid w:val="00B53BF8"/>
    <w:rsid w:val="00B53F3D"/>
    <w:rsid w:val="00B5426F"/>
    <w:rsid w:val="00B54A94"/>
    <w:rsid w:val="00B566CA"/>
    <w:rsid w:val="00B57A03"/>
    <w:rsid w:val="00B60904"/>
    <w:rsid w:val="00B6146A"/>
    <w:rsid w:val="00B62110"/>
    <w:rsid w:val="00B631C5"/>
    <w:rsid w:val="00B6346A"/>
    <w:rsid w:val="00B64A1B"/>
    <w:rsid w:val="00B66166"/>
    <w:rsid w:val="00B6618D"/>
    <w:rsid w:val="00B6668B"/>
    <w:rsid w:val="00B7028C"/>
    <w:rsid w:val="00B70DDB"/>
    <w:rsid w:val="00B718C1"/>
    <w:rsid w:val="00B71DC1"/>
    <w:rsid w:val="00B72432"/>
    <w:rsid w:val="00B737F5"/>
    <w:rsid w:val="00B74514"/>
    <w:rsid w:val="00B74844"/>
    <w:rsid w:val="00B750F0"/>
    <w:rsid w:val="00B75378"/>
    <w:rsid w:val="00B76766"/>
    <w:rsid w:val="00B77512"/>
    <w:rsid w:val="00B7768B"/>
    <w:rsid w:val="00B77C25"/>
    <w:rsid w:val="00B82360"/>
    <w:rsid w:val="00B8383A"/>
    <w:rsid w:val="00B84089"/>
    <w:rsid w:val="00B8431F"/>
    <w:rsid w:val="00B84E98"/>
    <w:rsid w:val="00B8517E"/>
    <w:rsid w:val="00B85404"/>
    <w:rsid w:val="00B87107"/>
    <w:rsid w:val="00B87300"/>
    <w:rsid w:val="00B87511"/>
    <w:rsid w:val="00B876E9"/>
    <w:rsid w:val="00B87E79"/>
    <w:rsid w:val="00B9012B"/>
    <w:rsid w:val="00B9034A"/>
    <w:rsid w:val="00B90A63"/>
    <w:rsid w:val="00B91EEE"/>
    <w:rsid w:val="00B923C1"/>
    <w:rsid w:val="00B9254A"/>
    <w:rsid w:val="00B92978"/>
    <w:rsid w:val="00B92BEA"/>
    <w:rsid w:val="00B92DE2"/>
    <w:rsid w:val="00B92FF1"/>
    <w:rsid w:val="00B944F7"/>
    <w:rsid w:val="00B94F58"/>
    <w:rsid w:val="00B95924"/>
    <w:rsid w:val="00B96BC4"/>
    <w:rsid w:val="00B96D12"/>
    <w:rsid w:val="00B96FC5"/>
    <w:rsid w:val="00B97CA0"/>
    <w:rsid w:val="00BA09D7"/>
    <w:rsid w:val="00BA12D9"/>
    <w:rsid w:val="00BA14D1"/>
    <w:rsid w:val="00BA15F1"/>
    <w:rsid w:val="00BA163D"/>
    <w:rsid w:val="00BA189C"/>
    <w:rsid w:val="00BA1B32"/>
    <w:rsid w:val="00BA20BC"/>
    <w:rsid w:val="00BA2442"/>
    <w:rsid w:val="00BA2823"/>
    <w:rsid w:val="00BA2A43"/>
    <w:rsid w:val="00BA44E4"/>
    <w:rsid w:val="00BA4D6F"/>
    <w:rsid w:val="00BA5068"/>
    <w:rsid w:val="00BA5083"/>
    <w:rsid w:val="00BA50EF"/>
    <w:rsid w:val="00BA6548"/>
    <w:rsid w:val="00BA6664"/>
    <w:rsid w:val="00BA6870"/>
    <w:rsid w:val="00BA6CCD"/>
    <w:rsid w:val="00BA713B"/>
    <w:rsid w:val="00BA7F0B"/>
    <w:rsid w:val="00BB0AE7"/>
    <w:rsid w:val="00BB0D3F"/>
    <w:rsid w:val="00BB1843"/>
    <w:rsid w:val="00BB1B2B"/>
    <w:rsid w:val="00BB26D7"/>
    <w:rsid w:val="00BB3B04"/>
    <w:rsid w:val="00BB4972"/>
    <w:rsid w:val="00BB7409"/>
    <w:rsid w:val="00BC08F0"/>
    <w:rsid w:val="00BC0CAF"/>
    <w:rsid w:val="00BC14DC"/>
    <w:rsid w:val="00BC2484"/>
    <w:rsid w:val="00BC2991"/>
    <w:rsid w:val="00BC2D84"/>
    <w:rsid w:val="00BC3085"/>
    <w:rsid w:val="00BC3BA0"/>
    <w:rsid w:val="00BC3C33"/>
    <w:rsid w:val="00BC5BFC"/>
    <w:rsid w:val="00BC5C5E"/>
    <w:rsid w:val="00BC5DBD"/>
    <w:rsid w:val="00BC71A2"/>
    <w:rsid w:val="00BC763F"/>
    <w:rsid w:val="00BC796C"/>
    <w:rsid w:val="00BC7B8B"/>
    <w:rsid w:val="00BD088F"/>
    <w:rsid w:val="00BD0AC2"/>
    <w:rsid w:val="00BD0E93"/>
    <w:rsid w:val="00BD12AA"/>
    <w:rsid w:val="00BD2DEE"/>
    <w:rsid w:val="00BD37A5"/>
    <w:rsid w:val="00BD37F9"/>
    <w:rsid w:val="00BD3B4E"/>
    <w:rsid w:val="00BD3C6C"/>
    <w:rsid w:val="00BD3DC2"/>
    <w:rsid w:val="00BD4AFD"/>
    <w:rsid w:val="00BD4DA7"/>
    <w:rsid w:val="00BD57D5"/>
    <w:rsid w:val="00BD603B"/>
    <w:rsid w:val="00BD649E"/>
    <w:rsid w:val="00BD7198"/>
    <w:rsid w:val="00BE01E7"/>
    <w:rsid w:val="00BE105E"/>
    <w:rsid w:val="00BE148B"/>
    <w:rsid w:val="00BE1CD4"/>
    <w:rsid w:val="00BE2562"/>
    <w:rsid w:val="00BE3ACF"/>
    <w:rsid w:val="00BE5249"/>
    <w:rsid w:val="00BE5270"/>
    <w:rsid w:val="00BE539C"/>
    <w:rsid w:val="00BE54D7"/>
    <w:rsid w:val="00BE56B0"/>
    <w:rsid w:val="00BE5CE7"/>
    <w:rsid w:val="00BE6490"/>
    <w:rsid w:val="00BE6EFB"/>
    <w:rsid w:val="00BE77CA"/>
    <w:rsid w:val="00BF10A1"/>
    <w:rsid w:val="00BF1215"/>
    <w:rsid w:val="00BF1C92"/>
    <w:rsid w:val="00BF3779"/>
    <w:rsid w:val="00BF56F7"/>
    <w:rsid w:val="00BF62DE"/>
    <w:rsid w:val="00BF67CB"/>
    <w:rsid w:val="00C009BA"/>
    <w:rsid w:val="00C01796"/>
    <w:rsid w:val="00C01FDA"/>
    <w:rsid w:val="00C034A7"/>
    <w:rsid w:val="00C048A8"/>
    <w:rsid w:val="00C04BC5"/>
    <w:rsid w:val="00C04E27"/>
    <w:rsid w:val="00C05D24"/>
    <w:rsid w:val="00C072F0"/>
    <w:rsid w:val="00C07D19"/>
    <w:rsid w:val="00C10DAB"/>
    <w:rsid w:val="00C1179C"/>
    <w:rsid w:val="00C11D52"/>
    <w:rsid w:val="00C12161"/>
    <w:rsid w:val="00C131C8"/>
    <w:rsid w:val="00C13BC0"/>
    <w:rsid w:val="00C156C0"/>
    <w:rsid w:val="00C160B2"/>
    <w:rsid w:val="00C16319"/>
    <w:rsid w:val="00C17076"/>
    <w:rsid w:val="00C20242"/>
    <w:rsid w:val="00C207B2"/>
    <w:rsid w:val="00C20E5B"/>
    <w:rsid w:val="00C20FD1"/>
    <w:rsid w:val="00C22B04"/>
    <w:rsid w:val="00C23193"/>
    <w:rsid w:val="00C23A6D"/>
    <w:rsid w:val="00C23CA6"/>
    <w:rsid w:val="00C250BB"/>
    <w:rsid w:val="00C26924"/>
    <w:rsid w:val="00C27319"/>
    <w:rsid w:val="00C27CA1"/>
    <w:rsid w:val="00C3078A"/>
    <w:rsid w:val="00C31059"/>
    <w:rsid w:val="00C31E7C"/>
    <w:rsid w:val="00C3217F"/>
    <w:rsid w:val="00C325DD"/>
    <w:rsid w:val="00C328DD"/>
    <w:rsid w:val="00C32A59"/>
    <w:rsid w:val="00C32E63"/>
    <w:rsid w:val="00C34040"/>
    <w:rsid w:val="00C34283"/>
    <w:rsid w:val="00C34A48"/>
    <w:rsid w:val="00C34AD6"/>
    <w:rsid w:val="00C34C0B"/>
    <w:rsid w:val="00C37703"/>
    <w:rsid w:val="00C40693"/>
    <w:rsid w:val="00C40D13"/>
    <w:rsid w:val="00C41C99"/>
    <w:rsid w:val="00C42FD6"/>
    <w:rsid w:val="00C44CC8"/>
    <w:rsid w:val="00C461FA"/>
    <w:rsid w:val="00C47018"/>
    <w:rsid w:val="00C47085"/>
    <w:rsid w:val="00C47218"/>
    <w:rsid w:val="00C47EFA"/>
    <w:rsid w:val="00C50F00"/>
    <w:rsid w:val="00C528C7"/>
    <w:rsid w:val="00C52E75"/>
    <w:rsid w:val="00C53908"/>
    <w:rsid w:val="00C5425D"/>
    <w:rsid w:val="00C5530B"/>
    <w:rsid w:val="00C55838"/>
    <w:rsid w:val="00C56449"/>
    <w:rsid w:val="00C5666B"/>
    <w:rsid w:val="00C56B5C"/>
    <w:rsid w:val="00C57F17"/>
    <w:rsid w:val="00C600C7"/>
    <w:rsid w:val="00C604C3"/>
    <w:rsid w:val="00C605F7"/>
    <w:rsid w:val="00C61247"/>
    <w:rsid w:val="00C6184A"/>
    <w:rsid w:val="00C61C4A"/>
    <w:rsid w:val="00C633C9"/>
    <w:rsid w:val="00C636D5"/>
    <w:rsid w:val="00C63A94"/>
    <w:rsid w:val="00C63B69"/>
    <w:rsid w:val="00C63DB4"/>
    <w:rsid w:val="00C64064"/>
    <w:rsid w:val="00C640F2"/>
    <w:rsid w:val="00C64253"/>
    <w:rsid w:val="00C64463"/>
    <w:rsid w:val="00C651BC"/>
    <w:rsid w:val="00C65B7C"/>
    <w:rsid w:val="00C668B7"/>
    <w:rsid w:val="00C676C1"/>
    <w:rsid w:val="00C701CD"/>
    <w:rsid w:val="00C7047C"/>
    <w:rsid w:val="00C70BCE"/>
    <w:rsid w:val="00C70F1D"/>
    <w:rsid w:val="00C7131A"/>
    <w:rsid w:val="00C71D39"/>
    <w:rsid w:val="00C72D42"/>
    <w:rsid w:val="00C72EBE"/>
    <w:rsid w:val="00C72F32"/>
    <w:rsid w:val="00C73440"/>
    <w:rsid w:val="00C75DC4"/>
    <w:rsid w:val="00C7782F"/>
    <w:rsid w:val="00C77E6B"/>
    <w:rsid w:val="00C805DB"/>
    <w:rsid w:val="00C817C3"/>
    <w:rsid w:val="00C818DE"/>
    <w:rsid w:val="00C820AE"/>
    <w:rsid w:val="00C83D55"/>
    <w:rsid w:val="00C83DF0"/>
    <w:rsid w:val="00C83F32"/>
    <w:rsid w:val="00C841AE"/>
    <w:rsid w:val="00C84A28"/>
    <w:rsid w:val="00C85868"/>
    <w:rsid w:val="00C85C91"/>
    <w:rsid w:val="00C85D34"/>
    <w:rsid w:val="00C85F3D"/>
    <w:rsid w:val="00C8668D"/>
    <w:rsid w:val="00C869D8"/>
    <w:rsid w:val="00C87376"/>
    <w:rsid w:val="00C90517"/>
    <w:rsid w:val="00C90769"/>
    <w:rsid w:val="00C91242"/>
    <w:rsid w:val="00C913EA"/>
    <w:rsid w:val="00C91D1E"/>
    <w:rsid w:val="00C923FE"/>
    <w:rsid w:val="00C931F2"/>
    <w:rsid w:val="00C937BA"/>
    <w:rsid w:val="00C93903"/>
    <w:rsid w:val="00C93B9D"/>
    <w:rsid w:val="00C93D57"/>
    <w:rsid w:val="00C93DB1"/>
    <w:rsid w:val="00C9458C"/>
    <w:rsid w:val="00C95479"/>
    <w:rsid w:val="00C960B5"/>
    <w:rsid w:val="00C96B64"/>
    <w:rsid w:val="00CA0433"/>
    <w:rsid w:val="00CA0717"/>
    <w:rsid w:val="00CA0CC4"/>
    <w:rsid w:val="00CA0D3B"/>
    <w:rsid w:val="00CA1137"/>
    <w:rsid w:val="00CA16C0"/>
    <w:rsid w:val="00CA2590"/>
    <w:rsid w:val="00CA2D4C"/>
    <w:rsid w:val="00CA2FAE"/>
    <w:rsid w:val="00CA3B58"/>
    <w:rsid w:val="00CA3E57"/>
    <w:rsid w:val="00CA3E66"/>
    <w:rsid w:val="00CA4C4F"/>
    <w:rsid w:val="00CA64AF"/>
    <w:rsid w:val="00CB10FD"/>
    <w:rsid w:val="00CB144A"/>
    <w:rsid w:val="00CB24E5"/>
    <w:rsid w:val="00CB30BF"/>
    <w:rsid w:val="00CB39A5"/>
    <w:rsid w:val="00CB3A9C"/>
    <w:rsid w:val="00CB4548"/>
    <w:rsid w:val="00CB51C1"/>
    <w:rsid w:val="00CB57D6"/>
    <w:rsid w:val="00CB6818"/>
    <w:rsid w:val="00CB7942"/>
    <w:rsid w:val="00CB794F"/>
    <w:rsid w:val="00CB7E39"/>
    <w:rsid w:val="00CC00ED"/>
    <w:rsid w:val="00CC071B"/>
    <w:rsid w:val="00CC08B7"/>
    <w:rsid w:val="00CC0D68"/>
    <w:rsid w:val="00CC1821"/>
    <w:rsid w:val="00CC1966"/>
    <w:rsid w:val="00CC2221"/>
    <w:rsid w:val="00CC2B82"/>
    <w:rsid w:val="00CC2C9D"/>
    <w:rsid w:val="00CC2CB1"/>
    <w:rsid w:val="00CC2D51"/>
    <w:rsid w:val="00CC2FAC"/>
    <w:rsid w:val="00CC446B"/>
    <w:rsid w:val="00CC4866"/>
    <w:rsid w:val="00CC59E6"/>
    <w:rsid w:val="00CC600A"/>
    <w:rsid w:val="00CC72D6"/>
    <w:rsid w:val="00CD03E1"/>
    <w:rsid w:val="00CD1246"/>
    <w:rsid w:val="00CD1E49"/>
    <w:rsid w:val="00CD22CA"/>
    <w:rsid w:val="00CD26F5"/>
    <w:rsid w:val="00CD2B73"/>
    <w:rsid w:val="00CD34E7"/>
    <w:rsid w:val="00CD3AD7"/>
    <w:rsid w:val="00CD4536"/>
    <w:rsid w:val="00CD465D"/>
    <w:rsid w:val="00CD5323"/>
    <w:rsid w:val="00CD5FF3"/>
    <w:rsid w:val="00CD7BE7"/>
    <w:rsid w:val="00CE1051"/>
    <w:rsid w:val="00CE1171"/>
    <w:rsid w:val="00CE1626"/>
    <w:rsid w:val="00CE3030"/>
    <w:rsid w:val="00CE3A78"/>
    <w:rsid w:val="00CE3B4A"/>
    <w:rsid w:val="00CE408D"/>
    <w:rsid w:val="00CE4936"/>
    <w:rsid w:val="00CE5B4E"/>
    <w:rsid w:val="00CE5BE2"/>
    <w:rsid w:val="00CE5EEB"/>
    <w:rsid w:val="00CE5F3A"/>
    <w:rsid w:val="00CE63A4"/>
    <w:rsid w:val="00CE63FC"/>
    <w:rsid w:val="00CE6927"/>
    <w:rsid w:val="00CE7B4D"/>
    <w:rsid w:val="00CF091B"/>
    <w:rsid w:val="00CF0B9D"/>
    <w:rsid w:val="00CF14C4"/>
    <w:rsid w:val="00CF2E91"/>
    <w:rsid w:val="00CF3FDE"/>
    <w:rsid w:val="00CF403A"/>
    <w:rsid w:val="00CF40C6"/>
    <w:rsid w:val="00CF4406"/>
    <w:rsid w:val="00CF53D5"/>
    <w:rsid w:val="00CF6510"/>
    <w:rsid w:val="00CF6697"/>
    <w:rsid w:val="00CF67B9"/>
    <w:rsid w:val="00CF7F6C"/>
    <w:rsid w:val="00D02039"/>
    <w:rsid w:val="00D03034"/>
    <w:rsid w:val="00D03404"/>
    <w:rsid w:val="00D04FBA"/>
    <w:rsid w:val="00D056C1"/>
    <w:rsid w:val="00D059A0"/>
    <w:rsid w:val="00D06615"/>
    <w:rsid w:val="00D06D61"/>
    <w:rsid w:val="00D06EFF"/>
    <w:rsid w:val="00D0781F"/>
    <w:rsid w:val="00D07E2F"/>
    <w:rsid w:val="00D100AD"/>
    <w:rsid w:val="00D124BA"/>
    <w:rsid w:val="00D1317F"/>
    <w:rsid w:val="00D134DA"/>
    <w:rsid w:val="00D13840"/>
    <w:rsid w:val="00D1557B"/>
    <w:rsid w:val="00D164F0"/>
    <w:rsid w:val="00D16FD1"/>
    <w:rsid w:val="00D20031"/>
    <w:rsid w:val="00D2116D"/>
    <w:rsid w:val="00D21EE8"/>
    <w:rsid w:val="00D223DF"/>
    <w:rsid w:val="00D23220"/>
    <w:rsid w:val="00D23581"/>
    <w:rsid w:val="00D23F1A"/>
    <w:rsid w:val="00D24066"/>
    <w:rsid w:val="00D2438B"/>
    <w:rsid w:val="00D25E61"/>
    <w:rsid w:val="00D260F6"/>
    <w:rsid w:val="00D262BB"/>
    <w:rsid w:val="00D2681F"/>
    <w:rsid w:val="00D2737E"/>
    <w:rsid w:val="00D30349"/>
    <w:rsid w:val="00D30889"/>
    <w:rsid w:val="00D3136B"/>
    <w:rsid w:val="00D33197"/>
    <w:rsid w:val="00D345BC"/>
    <w:rsid w:val="00D34B7F"/>
    <w:rsid w:val="00D34FC0"/>
    <w:rsid w:val="00D3503C"/>
    <w:rsid w:val="00D3558D"/>
    <w:rsid w:val="00D35963"/>
    <w:rsid w:val="00D360FE"/>
    <w:rsid w:val="00D36185"/>
    <w:rsid w:val="00D36186"/>
    <w:rsid w:val="00D365BD"/>
    <w:rsid w:val="00D36F48"/>
    <w:rsid w:val="00D3701F"/>
    <w:rsid w:val="00D40BB5"/>
    <w:rsid w:val="00D40BD6"/>
    <w:rsid w:val="00D40C96"/>
    <w:rsid w:val="00D41181"/>
    <w:rsid w:val="00D4130E"/>
    <w:rsid w:val="00D41622"/>
    <w:rsid w:val="00D41F28"/>
    <w:rsid w:val="00D4207A"/>
    <w:rsid w:val="00D42504"/>
    <w:rsid w:val="00D42F89"/>
    <w:rsid w:val="00D444E7"/>
    <w:rsid w:val="00D44506"/>
    <w:rsid w:val="00D44829"/>
    <w:rsid w:val="00D4527F"/>
    <w:rsid w:val="00D45F3B"/>
    <w:rsid w:val="00D47112"/>
    <w:rsid w:val="00D4724E"/>
    <w:rsid w:val="00D474A3"/>
    <w:rsid w:val="00D47D6A"/>
    <w:rsid w:val="00D518D3"/>
    <w:rsid w:val="00D51CF4"/>
    <w:rsid w:val="00D51F61"/>
    <w:rsid w:val="00D5330C"/>
    <w:rsid w:val="00D53F85"/>
    <w:rsid w:val="00D54430"/>
    <w:rsid w:val="00D54985"/>
    <w:rsid w:val="00D54B3A"/>
    <w:rsid w:val="00D55121"/>
    <w:rsid w:val="00D55233"/>
    <w:rsid w:val="00D55411"/>
    <w:rsid w:val="00D55507"/>
    <w:rsid w:val="00D55FE7"/>
    <w:rsid w:val="00D576CF"/>
    <w:rsid w:val="00D579A4"/>
    <w:rsid w:val="00D57B44"/>
    <w:rsid w:val="00D57C8F"/>
    <w:rsid w:val="00D609FC"/>
    <w:rsid w:val="00D61336"/>
    <w:rsid w:val="00D615C6"/>
    <w:rsid w:val="00D62662"/>
    <w:rsid w:val="00D62936"/>
    <w:rsid w:val="00D637C5"/>
    <w:rsid w:val="00D6383B"/>
    <w:rsid w:val="00D645BA"/>
    <w:rsid w:val="00D6595F"/>
    <w:rsid w:val="00D660CB"/>
    <w:rsid w:val="00D66568"/>
    <w:rsid w:val="00D675E1"/>
    <w:rsid w:val="00D67643"/>
    <w:rsid w:val="00D70208"/>
    <w:rsid w:val="00D70C54"/>
    <w:rsid w:val="00D712AF"/>
    <w:rsid w:val="00D71665"/>
    <w:rsid w:val="00D71A3D"/>
    <w:rsid w:val="00D71CCA"/>
    <w:rsid w:val="00D72A4B"/>
    <w:rsid w:val="00D72ED8"/>
    <w:rsid w:val="00D73AD3"/>
    <w:rsid w:val="00D743B3"/>
    <w:rsid w:val="00D7495F"/>
    <w:rsid w:val="00D74B93"/>
    <w:rsid w:val="00D75624"/>
    <w:rsid w:val="00D75D61"/>
    <w:rsid w:val="00D77583"/>
    <w:rsid w:val="00D80928"/>
    <w:rsid w:val="00D81425"/>
    <w:rsid w:val="00D8173D"/>
    <w:rsid w:val="00D8332D"/>
    <w:rsid w:val="00D838F1"/>
    <w:rsid w:val="00D83EA3"/>
    <w:rsid w:val="00D84297"/>
    <w:rsid w:val="00D8430B"/>
    <w:rsid w:val="00D86160"/>
    <w:rsid w:val="00D861E0"/>
    <w:rsid w:val="00D86A4C"/>
    <w:rsid w:val="00D86A70"/>
    <w:rsid w:val="00D86DFB"/>
    <w:rsid w:val="00D86EB5"/>
    <w:rsid w:val="00D873D3"/>
    <w:rsid w:val="00D87A99"/>
    <w:rsid w:val="00D87ED7"/>
    <w:rsid w:val="00D9009A"/>
    <w:rsid w:val="00D90545"/>
    <w:rsid w:val="00D917A9"/>
    <w:rsid w:val="00D93151"/>
    <w:rsid w:val="00D9318E"/>
    <w:rsid w:val="00D935E8"/>
    <w:rsid w:val="00D937B5"/>
    <w:rsid w:val="00D93E8E"/>
    <w:rsid w:val="00D9490E"/>
    <w:rsid w:val="00D96450"/>
    <w:rsid w:val="00D96532"/>
    <w:rsid w:val="00D9674B"/>
    <w:rsid w:val="00D96911"/>
    <w:rsid w:val="00D96D5F"/>
    <w:rsid w:val="00D9730E"/>
    <w:rsid w:val="00D97FD4"/>
    <w:rsid w:val="00DA1270"/>
    <w:rsid w:val="00DA1BD4"/>
    <w:rsid w:val="00DA2A74"/>
    <w:rsid w:val="00DA2C0A"/>
    <w:rsid w:val="00DA2E36"/>
    <w:rsid w:val="00DA3927"/>
    <w:rsid w:val="00DA3EE3"/>
    <w:rsid w:val="00DA4D14"/>
    <w:rsid w:val="00DA577B"/>
    <w:rsid w:val="00DA5B44"/>
    <w:rsid w:val="00DA5FFE"/>
    <w:rsid w:val="00DA6032"/>
    <w:rsid w:val="00DA6C75"/>
    <w:rsid w:val="00DB03C4"/>
    <w:rsid w:val="00DB066F"/>
    <w:rsid w:val="00DB0AB6"/>
    <w:rsid w:val="00DB160D"/>
    <w:rsid w:val="00DB162F"/>
    <w:rsid w:val="00DB3551"/>
    <w:rsid w:val="00DB382C"/>
    <w:rsid w:val="00DB403B"/>
    <w:rsid w:val="00DB43F7"/>
    <w:rsid w:val="00DB455D"/>
    <w:rsid w:val="00DB4765"/>
    <w:rsid w:val="00DB4DEA"/>
    <w:rsid w:val="00DB535B"/>
    <w:rsid w:val="00DB660D"/>
    <w:rsid w:val="00DB687F"/>
    <w:rsid w:val="00DB6E27"/>
    <w:rsid w:val="00DB78B6"/>
    <w:rsid w:val="00DB7E90"/>
    <w:rsid w:val="00DB7F2C"/>
    <w:rsid w:val="00DC0A24"/>
    <w:rsid w:val="00DC1EFA"/>
    <w:rsid w:val="00DC21D8"/>
    <w:rsid w:val="00DC2FE1"/>
    <w:rsid w:val="00DC44D6"/>
    <w:rsid w:val="00DC4C97"/>
    <w:rsid w:val="00DC4F76"/>
    <w:rsid w:val="00DC5BAD"/>
    <w:rsid w:val="00DC6538"/>
    <w:rsid w:val="00DC6DA9"/>
    <w:rsid w:val="00DC6F10"/>
    <w:rsid w:val="00DD027B"/>
    <w:rsid w:val="00DD09DD"/>
    <w:rsid w:val="00DD15DF"/>
    <w:rsid w:val="00DD3210"/>
    <w:rsid w:val="00DD520B"/>
    <w:rsid w:val="00DD5559"/>
    <w:rsid w:val="00DD6708"/>
    <w:rsid w:val="00DD6E50"/>
    <w:rsid w:val="00DD7027"/>
    <w:rsid w:val="00DD7E78"/>
    <w:rsid w:val="00DD7E80"/>
    <w:rsid w:val="00DE00F4"/>
    <w:rsid w:val="00DE07A0"/>
    <w:rsid w:val="00DE0AB6"/>
    <w:rsid w:val="00DE11FB"/>
    <w:rsid w:val="00DE167D"/>
    <w:rsid w:val="00DE335B"/>
    <w:rsid w:val="00DE5235"/>
    <w:rsid w:val="00DE65AC"/>
    <w:rsid w:val="00DE6659"/>
    <w:rsid w:val="00DE6668"/>
    <w:rsid w:val="00DE745F"/>
    <w:rsid w:val="00DE7C57"/>
    <w:rsid w:val="00DF0649"/>
    <w:rsid w:val="00DF0A9E"/>
    <w:rsid w:val="00DF0B2F"/>
    <w:rsid w:val="00DF1C31"/>
    <w:rsid w:val="00DF2A1C"/>
    <w:rsid w:val="00DF2DF5"/>
    <w:rsid w:val="00DF2F2A"/>
    <w:rsid w:val="00DF311C"/>
    <w:rsid w:val="00DF31B2"/>
    <w:rsid w:val="00DF3BE0"/>
    <w:rsid w:val="00DF4805"/>
    <w:rsid w:val="00DF51A9"/>
    <w:rsid w:val="00DF51E6"/>
    <w:rsid w:val="00DF580C"/>
    <w:rsid w:val="00DF6013"/>
    <w:rsid w:val="00DF6717"/>
    <w:rsid w:val="00DF6C2B"/>
    <w:rsid w:val="00DF72C8"/>
    <w:rsid w:val="00DF7B90"/>
    <w:rsid w:val="00E003D0"/>
    <w:rsid w:val="00E00C07"/>
    <w:rsid w:val="00E00D54"/>
    <w:rsid w:val="00E0148D"/>
    <w:rsid w:val="00E0203F"/>
    <w:rsid w:val="00E02D8D"/>
    <w:rsid w:val="00E02F8F"/>
    <w:rsid w:val="00E036AC"/>
    <w:rsid w:val="00E04A14"/>
    <w:rsid w:val="00E068B4"/>
    <w:rsid w:val="00E07DC4"/>
    <w:rsid w:val="00E11591"/>
    <w:rsid w:val="00E116B9"/>
    <w:rsid w:val="00E116CF"/>
    <w:rsid w:val="00E120FE"/>
    <w:rsid w:val="00E1566A"/>
    <w:rsid w:val="00E1587D"/>
    <w:rsid w:val="00E15B24"/>
    <w:rsid w:val="00E15CA6"/>
    <w:rsid w:val="00E15DE2"/>
    <w:rsid w:val="00E16A5E"/>
    <w:rsid w:val="00E16F48"/>
    <w:rsid w:val="00E1756F"/>
    <w:rsid w:val="00E17764"/>
    <w:rsid w:val="00E177FE"/>
    <w:rsid w:val="00E21172"/>
    <w:rsid w:val="00E21324"/>
    <w:rsid w:val="00E21411"/>
    <w:rsid w:val="00E2183E"/>
    <w:rsid w:val="00E21F02"/>
    <w:rsid w:val="00E2215C"/>
    <w:rsid w:val="00E22227"/>
    <w:rsid w:val="00E223BA"/>
    <w:rsid w:val="00E23202"/>
    <w:rsid w:val="00E23B8F"/>
    <w:rsid w:val="00E23C5E"/>
    <w:rsid w:val="00E24CE2"/>
    <w:rsid w:val="00E25F9D"/>
    <w:rsid w:val="00E26146"/>
    <w:rsid w:val="00E26A1D"/>
    <w:rsid w:val="00E27820"/>
    <w:rsid w:val="00E3059B"/>
    <w:rsid w:val="00E3078E"/>
    <w:rsid w:val="00E3163E"/>
    <w:rsid w:val="00E31692"/>
    <w:rsid w:val="00E31EDF"/>
    <w:rsid w:val="00E31F8E"/>
    <w:rsid w:val="00E331C1"/>
    <w:rsid w:val="00E36074"/>
    <w:rsid w:val="00E37F77"/>
    <w:rsid w:val="00E403B1"/>
    <w:rsid w:val="00E40F54"/>
    <w:rsid w:val="00E4186F"/>
    <w:rsid w:val="00E41B0C"/>
    <w:rsid w:val="00E433E7"/>
    <w:rsid w:val="00E43CCF"/>
    <w:rsid w:val="00E458E3"/>
    <w:rsid w:val="00E45B79"/>
    <w:rsid w:val="00E45E36"/>
    <w:rsid w:val="00E4605B"/>
    <w:rsid w:val="00E4611D"/>
    <w:rsid w:val="00E46E10"/>
    <w:rsid w:val="00E512E2"/>
    <w:rsid w:val="00E51883"/>
    <w:rsid w:val="00E518B3"/>
    <w:rsid w:val="00E518B9"/>
    <w:rsid w:val="00E51FA7"/>
    <w:rsid w:val="00E52BE2"/>
    <w:rsid w:val="00E52C8A"/>
    <w:rsid w:val="00E5480C"/>
    <w:rsid w:val="00E5624A"/>
    <w:rsid w:val="00E569EA"/>
    <w:rsid w:val="00E57C12"/>
    <w:rsid w:val="00E600CB"/>
    <w:rsid w:val="00E6010E"/>
    <w:rsid w:val="00E603D0"/>
    <w:rsid w:val="00E61BEF"/>
    <w:rsid w:val="00E63E03"/>
    <w:rsid w:val="00E64A16"/>
    <w:rsid w:val="00E657FE"/>
    <w:rsid w:val="00E70694"/>
    <w:rsid w:val="00E7082F"/>
    <w:rsid w:val="00E718CB"/>
    <w:rsid w:val="00E72FBA"/>
    <w:rsid w:val="00E73411"/>
    <w:rsid w:val="00E74C37"/>
    <w:rsid w:val="00E7521B"/>
    <w:rsid w:val="00E757DD"/>
    <w:rsid w:val="00E75AC7"/>
    <w:rsid w:val="00E76486"/>
    <w:rsid w:val="00E76525"/>
    <w:rsid w:val="00E76F90"/>
    <w:rsid w:val="00E7726C"/>
    <w:rsid w:val="00E801EB"/>
    <w:rsid w:val="00E802A4"/>
    <w:rsid w:val="00E816AA"/>
    <w:rsid w:val="00E820E7"/>
    <w:rsid w:val="00E822B4"/>
    <w:rsid w:val="00E83391"/>
    <w:rsid w:val="00E83C3A"/>
    <w:rsid w:val="00E85514"/>
    <w:rsid w:val="00E855D5"/>
    <w:rsid w:val="00E856EF"/>
    <w:rsid w:val="00E87275"/>
    <w:rsid w:val="00E877C3"/>
    <w:rsid w:val="00E9010A"/>
    <w:rsid w:val="00E90791"/>
    <w:rsid w:val="00E90969"/>
    <w:rsid w:val="00E90B9E"/>
    <w:rsid w:val="00E922EC"/>
    <w:rsid w:val="00E933EA"/>
    <w:rsid w:val="00E946EB"/>
    <w:rsid w:val="00E9487F"/>
    <w:rsid w:val="00E954D9"/>
    <w:rsid w:val="00E9572F"/>
    <w:rsid w:val="00E95739"/>
    <w:rsid w:val="00E95760"/>
    <w:rsid w:val="00E95BC3"/>
    <w:rsid w:val="00E95CE8"/>
    <w:rsid w:val="00E9618C"/>
    <w:rsid w:val="00E961FD"/>
    <w:rsid w:val="00E96E54"/>
    <w:rsid w:val="00E97A8C"/>
    <w:rsid w:val="00EA051C"/>
    <w:rsid w:val="00EA0B61"/>
    <w:rsid w:val="00EA0FEA"/>
    <w:rsid w:val="00EA1722"/>
    <w:rsid w:val="00EA2113"/>
    <w:rsid w:val="00EA29E7"/>
    <w:rsid w:val="00EA2B31"/>
    <w:rsid w:val="00EA3D18"/>
    <w:rsid w:val="00EA4756"/>
    <w:rsid w:val="00EA4A7C"/>
    <w:rsid w:val="00EA523C"/>
    <w:rsid w:val="00EA5BC2"/>
    <w:rsid w:val="00EA661C"/>
    <w:rsid w:val="00EA681F"/>
    <w:rsid w:val="00EA6BF2"/>
    <w:rsid w:val="00EA72DF"/>
    <w:rsid w:val="00EA7428"/>
    <w:rsid w:val="00EA76CF"/>
    <w:rsid w:val="00EB0E9D"/>
    <w:rsid w:val="00EB12BD"/>
    <w:rsid w:val="00EB1A35"/>
    <w:rsid w:val="00EB24D2"/>
    <w:rsid w:val="00EB3BA6"/>
    <w:rsid w:val="00EB5DF5"/>
    <w:rsid w:val="00EB67CD"/>
    <w:rsid w:val="00EB6DD0"/>
    <w:rsid w:val="00EB71FE"/>
    <w:rsid w:val="00EC100F"/>
    <w:rsid w:val="00EC12F6"/>
    <w:rsid w:val="00EC36B2"/>
    <w:rsid w:val="00EC3DBA"/>
    <w:rsid w:val="00EC3EDE"/>
    <w:rsid w:val="00EC4782"/>
    <w:rsid w:val="00EC548A"/>
    <w:rsid w:val="00EC6175"/>
    <w:rsid w:val="00EC636C"/>
    <w:rsid w:val="00EC6706"/>
    <w:rsid w:val="00EC6F51"/>
    <w:rsid w:val="00EC6F57"/>
    <w:rsid w:val="00EC7003"/>
    <w:rsid w:val="00EC7039"/>
    <w:rsid w:val="00EC7C7B"/>
    <w:rsid w:val="00ED0220"/>
    <w:rsid w:val="00ED0602"/>
    <w:rsid w:val="00ED0D7F"/>
    <w:rsid w:val="00ED0E2D"/>
    <w:rsid w:val="00ED17A2"/>
    <w:rsid w:val="00ED1D6B"/>
    <w:rsid w:val="00ED2F27"/>
    <w:rsid w:val="00ED321E"/>
    <w:rsid w:val="00ED336A"/>
    <w:rsid w:val="00ED4B08"/>
    <w:rsid w:val="00ED4B18"/>
    <w:rsid w:val="00ED56E9"/>
    <w:rsid w:val="00ED572C"/>
    <w:rsid w:val="00ED5D46"/>
    <w:rsid w:val="00ED6D7C"/>
    <w:rsid w:val="00ED7B88"/>
    <w:rsid w:val="00EE0A9B"/>
    <w:rsid w:val="00EE0D5F"/>
    <w:rsid w:val="00EE1F3C"/>
    <w:rsid w:val="00EE25C0"/>
    <w:rsid w:val="00EE3388"/>
    <w:rsid w:val="00EE387B"/>
    <w:rsid w:val="00EE3F2F"/>
    <w:rsid w:val="00EE4FEB"/>
    <w:rsid w:val="00EE5B7D"/>
    <w:rsid w:val="00EE65F9"/>
    <w:rsid w:val="00EE6A7C"/>
    <w:rsid w:val="00EF0513"/>
    <w:rsid w:val="00EF062D"/>
    <w:rsid w:val="00EF1628"/>
    <w:rsid w:val="00EF21D4"/>
    <w:rsid w:val="00EF2540"/>
    <w:rsid w:val="00EF2AA3"/>
    <w:rsid w:val="00EF3319"/>
    <w:rsid w:val="00EF42A5"/>
    <w:rsid w:val="00EF4A02"/>
    <w:rsid w:val="00EF56A0"/>
    <w:rsid w:val="00EF5CF0"/>
    <w:rsid w:val="00EF5D7D"/>
    <w:rsid w:val="00EF64B6"/>
    <w:rsid w:val="00EF6578"/>
    <w:rsid w:val="00EF6CF0"/>
    <w:rsid w:val="00EF7373"/>
    <w:rsid w:val="00EF7618"/>
    <w:rsid w:val="00EF7FA9"/>
    <w:rsid w:val="00F00770"/>
    <w:rsid w:val="00F00D75"/>
    <w:rsid w:val="00F0208D"/>
    <w:rsid w:val="00F025BC"/>
    <w:rsid w:val="00F026C7"/>
    <w:rsid w:val="00F02BD6"/>
    <w:rsid w:val="00F0338F"/>
    <w:rsid w:val="00F0378B"/>
    <w:rsid w:val="00F037E9"/>
    <w:rsid w:val="00F03AC2"/>
    <w:rsid w:val="00F03ED3"/>
    <w:rsid w:val="00F04244"/>
    <w:rsid w:val="00F04516"/>
    <w:rsid w:val="00F05162"/>
    <w:rsid w:val="00F05689"/>
    <w:rsid w:val="00F0569B"/>
    <w:rsid w:val="00F05807"/>
    <w:rsid w:val="00F06B3D"/>
    <w:rsid w:val="00F1027B"/>
    <w:rsid w:val="00F1053D"/>
    <w:rsid w:val="00F10BC5"/>
    <w:rsid w:val="00F10C9E"/>
    <w:rsid w:val="00F140C6"/>
    <w:rsid w:val="00F1414A"/>
    <w:rsid w:val="00F150BB"/>
    <w:rsid w:val="00F1548A"/>
    <w:rsid w:val="00F15D38"/>
    <w:rsid w:val="00F16BB3"/>
    <w:rsid w:val="00F1717B"/>
    <w:rsid w:val="00F174D5"/>
    <w:rsid w:val="00F201D4"/>
    <w:rsid w:val="00F20203"/>
    <w:rsid w:val="00F20B4F"/>
    <w:rsid w:val="00F20F11"/>
    <w:rsid w:val="00F21024"/>
    <w:rsid w:val="00F21212"/>
    <w:rsid w:val="00F21D95"/>
    <w:rsid w:val="00F23F47"/>
    <w:rsid w:val="00F23FB5"/>
    <w:rsid w:val="00F23FF3"/>
    <w:rsid w:val="00F24602"/>
    <w:rsid w:val="00F2463E"/>
    <w:rsid w:val="00F24A4F"/>
    <w:rsid w:val="00F25279"/>
    <w:rsid w:val="00F256D9"/>
    <w:rsid w:val="00F25F8F"/>
    <w:rsid w:val="00F2719F"/>
    <w:rsid w:val="00F27441"/>
    <w:rsid w:val="00F2789C"/>
    <w:rsid w:val="00F305C5"/>
    <w:rsid w:val="00F30F1B"/>
    <w:rsid w:val="00F326E0"/>
    <w:rsid w:val="00F32AC3"/>
    <w:rsid w:val="00F34595"/>
    <w:rsid w:val="00F34807"/>
    <w:rsid w:val="00F34E2B"/>
    <w:rsid w:val="00F37055"/>
    <w:rsid w:val="00F370C4"/>
    <w:rsid w:val="00F379A2"/>
    <w:rsid w:val="00F403F8"/>
    <w:rsid w:val="00F40C23"/>
    <w:rsid w:val="00F41F93"/>
    <w:rsid w:val="00F42BCB"/>
    <w:rsid w:val="00F43C92"/>
    <w:rsid w:val="00F444B8"/>
    <w:rsid w:val="00F4459E"/>
    <w:rsid w:val="00F448B0"/>
    <w:rsid w:val="00F4588D"/>
    <w:rsid w:val="00F45C2F"/>
    <w:rsid w:val="00F46252"/>
    <w:rsid w:val="00F4692C"/>
    <w:rsid w:val="00F46CB5"/>
    <w:rsid w:val="00F46CE9"/>
    <w:rsid w:val="00F47DA6"/>
    <w:rsid w:val="00F47FDD"/>
    <w:rsid w:val="00F500F1"/>
    <w:rsid w:val="00F51264"/>
    <w:rsid w:val="00F51765"/>
    <w:rsid w:val="00F52347"/>
    <w:rsid w:val="00F52C11"/>
    <w:rsid w:val="00F5344C"/>
    <w:rsid w:val="00F53A77"/>
    <w:rsid w:val="00F53AE6"/>
    <w:rsid w:val="00F53D62"/>
    <w:rsid w:val="00F54EF4"/>
    <w:rsid w:val="00F5538A"/>
    <w:rsid w:val="00F5556A"/>
    <w:rsid w:val="00F55709"/>
    <w:rsid w:val="00F569B4"/>
    <w:rsid w:val="00F56AD2"/>
    <w:rsid w:val="00F57B39"/>
    <w:rsid w:val="00F609ED"/>
    <w:rsid w:val="00F60A8C"/>
    <w:rsid w:val="00F60CEC"/>
    <w:rsid w:val="00F6135D"/>
    <w:rsid w:val="00F613FD"/>
    <w:rsid w:val="00F61D16"/>
    <w:rsid w:val="00F61D2B"/>
    <w:rsid w:val="00F6273D"/>
    <w:rsid w:val="00F62DD8"/>
    <w:rsid w:val="00F636EC"/>
    <w:rsid w:val="00F667B4"/>
    <w:rsid w:val="00F6737E"/>
    <w:rsid w:val="00F675E2"/>
    <w:rsid w:val="00F71ADC"/>
    <w:rsid w:val="00F726E7"/>
    <w:rsid w:val="00F73167"/>
    <w:rsid w:val="00F73F38"/>
    <w:rsid w:val="00F744C7"/>
    <w:rsid w:val="00F756BD"/>
    <w:rsid w:val="00F75C84"/>
    <w:rsid w:val="00F7616D"/>
    <w:rsid w:val="00F76DAF"/>
    <w:rsid w:val="00F80DBF"/>
    <w:rsid w:val="00F81192"/>
    <w:rsid w:val="00F81F44"/>
    <w:rsid w:val="00F82104"/>
    <w:rsid w:val="00F826D5"/>
    <w:rsid w:val="00F82D0B"/>
    <w:rsid w:val="00F82F18"/>
    <w:rsid w:val="00F83981"/>
    <w:rsid w:val="00F83A92"/>
    <w:rsid w:val="00F84244"/>
    <w:rsid w:val="00F84AD7"/>
    <w:rsid w:val="00F84D38"/>
    <w:rsid w:val="00F85C6B"/>
    <w:rsid w:val="00F86A9D"/>
    <w:rsid w:val="00F86DC7"/>
    <w:rsid w:val="00F86F30"/>
    <w:rsid w:val="00F87752"/>
    <w:rsid w:val="00F87BFD"/>
    <w:rsid w:val="00F87CD3"/>
    <w:rsid w:val="00F923E6"/>
    <w:rsid w:val="00F927D9"/>
    <w:rsid w:val="00F93432"/>
    <w:rsid w:val="00F939A7"/>
    <w:rsid w:val="00F93AE2"/>
    <w:rsid w:val="00F94EE7"/>
    <w:rsid w:val="00F96479"/>
    <w:rsid w:val="00F9649F"/>
    <w:rsid w:val="00F97BAB"/>
    <w:rsid w:val="00F97DDE"/>
    <w:rsid w:val="00FA1708"/>
    <w:rsid w:val="00FA1829"/>
    <w:rsid w:val="00FA1D09"/>
    <w:rsid w:val="00FA1FFA"/>
    <w:rsid w:val="00FA23F6"/>
    <w:rsid w:val="00FA2723"/>
    <w:rsid w:val="00FA2A93"/>
    <w:rsid w:val="00FA4665"/>
    <w:rsid w:val="00FA50A5"/>
    <w:rsid w:val="00FA5401"/>
    <w:rsid w:val="00FA5481"/>
    <w:rsid w:val="00FA5CD7"/>
    <w:rsid w:val="00FA5E07"/>
    <w:rsid w:val="00FA5EA3"/>
    <w:rsid w:val="00FA62D0"/>
    <w:rsid w:val="00FA6D8B"/>
    <w:rsid w:val="00FA6F07"/>
    <w:rsid w:val="00FA7D0E"/>
    <w:rsid w:val="00FB057F"/>
    <w:rsid w:val="00FB058C"/>
    <w:rsid w:val="00FB11C3"/>
    <w:rsid w:val="00FB17A9"/>
    <w:rsid w:val="00FB258A"/>
    <w:rsid w:val="00FB2B46"/>
    <w:rsid w:val="00FB2D84"/>
    <w:rsid w:val="00FB3449"/>
    <w:rsid w:val="00FB3556"/>
    <w:rsid w:val="00FB37C5"/>
    <w:rsid w:val="00FB394B"/>
    <w:rsid w:val="00FB3E14"/>
    <w:rsid w:val="00FB3FD3"/>
    <w:rsid w:val="00FB4493"/>
    <w:rsid w:val="00FB5654"/>
    <w:rsid w:val="00FB66B6"/>
    <w:rsid w:val="00FB705C"/>
    <w:rsid w:val="00FB792F"/>
    <w:rsid w:val="00FB7F1F"/>
    <w:rsid w:val="00FC0397"/>
    <w:rsid w:val="00FC1526"/>
    <w:rsid w:val="00FC18A1"/>
    <w:rsid w:val="00FC2B37"/>
    <w:rsid w:val="00FC2DE0"/>
    <w:rsid w:val="00FC35FE"/>
    <w:rsid w:val="00FC3607"/>
    <w:rsid w:val="00FC4323"/>
    <w:rsid w:val="00FC53B4"/>
    <w:rsid w:val="00FC6199"/>
    <w:rsid w:val="00FC634D"/>
    <w:rsid w:val="00FC7502"/>
    <w:rsid w:val="00FD084D"/>
    <w:rsid w:val="00FD08B3"/>
    <w:rsid w:val="00FD0A47"/>
    <w:rsid w:val="00FD0A80"/>
    <w:rsid w:val="00FD181E"/>
    <w:rsid w:val="00FD1B90"/>
    <w:rsid w:val="00FD28CD"/>
    <w:rsid w:val="00FD2AFC"/>
    <w:rsid w:val="00FD2C76"/>
    <w:rsid w:val="00FD43C1"/>
    <w:rsid w:val="00FD4B22"/>
    <w:rsid w:val="00FD5066"/>
    <w:rsid w:val="00FD50C9"/>
    <w:rsid w:val="00FD518D"/>
    <w:rsid w:val="00FD5ED1"/>
    <w:rsid w:val="00FD681D"/>
    <w:rsid w:val="00FD7C39"/>
    <w:rsid w:val="00FE02FF"/>
    <w:rsid w:val="00FE04E3"/>
    <w:rsid w:val="00FE0966"/>
    <w:rsid w:val="00FE0C48"/>
    <w:rsid w:val="00FE0FD1"/>
    <w:rsid w:val="00FE1CF7"/>
    <w:rsid w:val="00FE25D3"/>
    <w:rsid w:val="00FE3248"/>
    <w:rsid w:val="00FE32BB"/>
    <w:rsid w:val="00FE3954"/>
    <w:rsid w:val="00FE39A7"/>
    <w:rsid w:val="00FE42B7"/>
    <w:rsid w:val="00FE4585"/>
    <w:rsid w:val="00FE45FE"/>
    <w:rsid w:val="00FE4779"/>
    <w:rsid w:val="00FE4E1A"/>
    <w:rsid w:val="00FE4EB8"/>
    <w:rsid w:val="00FE71B1"/>
    <w:rsid w:val="00FE757C"/>
    <w:rsid w:val="00FE7A62"/>
    <w:rsid w:val="00FE7CD9"/>
    <w:rsid w:val="00FE7F6A"/>
    <w:rsid w:val="00FF0010"/>
    <w:rsid w:val="00FF0975"/>
    <w:rsid w:val="00FF0C42"/>
    <w:rsid w:val="00FF139A"/>
    <w:rsid w:val="00FF2F4A"/>
    <w:rsid w:val="00FF42D9"/>
    <w:rsid w:val="00FF5258"/>
    <w:rsid w:val="00FF6031"/>
    <w:rsid w:val="00FF61A9"/>
    <w:rsid w:val="00FF6B63"/>
    <w:rsid w:val="00FF6D5F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May%202019\Graphs%20May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May%202019\Graphs%20May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May%202019\Graphs%20May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May%202019\Graphs%20May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May%202019\Graphs%20May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May%202019\Graphs%20May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May%202019\Graphs%20May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86"/>
          <c:h val="0.46738476510661009"/>
        </c:manualLayout>
      </c:layout>
      <c:lineChart>
        <c:grouping val="standard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'!$A$18:$B$30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'total and gender '!$D$18:$D$30</c:f>
              <c:numCache>
                <c:formatCode>#,##0</c:formatCode>
                <c:ptCount val="13"/>
                <c:pt idx="0">
                  <c:v>10632</c:v>
                </c:pt>
                <c:pt idx="1">
                  <c:v>10436</c:v>
                </c:pt>
                <c:pt idx="2">
                  <c:v>10189</c:v>
                </c:pt>
                <c:pt idx="3">
                  <c:v>9839</c:v>
                </c:pt>
                <c:pt idx="4">
                  <c:v>9683</c:v>
                </c:pt>
                <c:pt idx="5">
                  <c:v>9541</c:v>
                </c:pt>
                <c:pt idx="6">
                  <c:v>12929</c:v>
                </c:pt>
                <c:pt idx="7">
                  <c:v>13690</c:v>
                </c:pt>
                <c:pt idx="8">
                  <c:v>14150</c:v>
                </c:pt>
                <c:pt idx="9">
                  <c:v>13355</c:v>
                </c:pt>
                <c:pt idx="10">
                  <c:v>12061</c:v>
                </c:pt>
                <c:pt idx="11">
                  <c:v>9443</c:v>
                </c:pt>
                <c:pt idx="12">
                  <c:v>8053</c:v>
                </c:pt>
              </c:numCache>
            </c:numRef>
          </c:val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'!$A$18:$B$30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'total and gender '!$E$18:$E$30</c:f>
              <c:numCache>
                <c:formatCode>#,##0</c:formatCode>
                <c:ptCount val="13"/>
                <c:pt idx="0">
                  <c:v>12207</c:v>
                </c:pt>
                <c:pt idx="1">
                  <c:v>13372</c:v>
                </c:pt>
                <c:pt idx="2">
                  <c:v>14614</c:v>
                </c:pt>
                <c:pt idx="3">
                  <c:v>14027</c:v>
                </c:pt>
                <c:pt idx="4">
                  <c:v>11716</c:v>
                </c:pt>
                <c:pt idx="5">
                  <c:v>10906</c:v>
                </c:pt>
                <c:pt idx="6">
                  <c:v>15585</c:v>
                </c:pt>
                <c:pt idx="7">
                  <c:v>16110</c:v>
                </c:pt>
                <c:pt idx="8">
                  <c:v>16801</c:v>
                </c:pt>
                <c:pt idx="9">
                  <c:v>16396</c:v>
                </c:pt>
                <c:pt idx="10">
                  <c:v>14447</c:v>
                </c:pt>
                <c:pt idx="11">
                  <c:v>10872</c:v>
                </c:pt>
                <c:pt idx="12">
                  <c:v>9554</c:v>
                </c:pt>
              </c:numCache>
            </c:numRef>
          </c:val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'!$A$18:$B$30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'total and gender '!$C$18:$C$30</c:f>
              <c:numCache>
                <c:formatCode>#,##0</c:formatCode>
                <c:ptCount val="13"/>
                <c:pt idx="0">
                  <c:v>22839</c:v>
                </c:pt>
                <c:pt idx="1">
                  <c:v>23808</c:v>
                </c:pt>
                <c:pt idx="2">
                  <c:v>24803</c:v>
                </c:pt>
                <c:pt idx="3">
                  <c:v>23866</c:v>
                </c:pt>
                <c:pt idx="4">
                  <c:v>21399</c:v>
                </c:pt>
                <c:pt idx="5">
                  <c:v>20447</c:v>
                </c:pt>
                <c:pt idx="6">
                  <c:v>28514</c:v>
                </c:pt>
                <c:pt idx="7">
                  <c:v>29800</c:v>
                </c:pt>
                <c:pt idx="8">
                  <c:v>30951</c:v>
                </c:pt>
                <c:pt idx="9">
                  <c:v>29751</c:v>
                </c:pt>
                <c:pt idx="10">
                  <c:v>26508</c:v>
                </c:pt>
                <c:pt idx="11">
                  <c:v>20315</c:v>
                </c:pt>
                <c:pt idx="12">
                  <c:v>17607</c:v>
                </c:pt>
              </c:numCache>
            </c:numRef>
          </c:val>
        </c:ser>
        <c:marker val="1"/>
        <c:axId val="282039808"/>
        <c:axId val="282041344"/>
      </c:lineChart>
      <c:catAx>
        <c:axId val="282039808"/>
        <c:scaling>
          <c:orientation val="minMax"/>
        </c:scaling>
        <c:axPos val="b"/>
        <c:numFmt formatCode="#,##0" sourceLinked="1"/>
        <c:tickLblPos val="nextTo"/>
        <c:crossAx val="282041344"/>
        <c:crosses val="autoZero"/>
        <c:auto val="1"/>
        <c:lblAlgn val="ctr"/>
        <c:lblOffset val="100"/>
      </c:catAx>
      <c:valAx>
        <c:axId val="282041344"/>
        <c:scaling>
          <c:orientation val="minMax"/>
          <c:max val="40000"/>
          <c:min val="5000"/>
        </c:scaling>
        <c:axPos val="l"/>
        <c:majorGridlines/>
        <c:numFmt formatCode="#,##0" sourceLinked="1"/>
        <c:tickLblPos val="nextTo"/>
        <c:crossAx val="282039808"/>
        <c:crosses val="autoZero"/>
        <c:crossBetween val="between"/>
        <c:majorUnit val="5000"/>
      </c:valAx>
    </c:plotArea>
    <c:legend>
      <c:legendPos val="r"/>
    </c:legend>
    <c:plotVisOnly val="1"/>
    <c:dispBlanksAs val="gap"/>
  </c:chart>
  <c:txPr>
    <a:bodyPr/>
    <a:lstStyle/>
    <a:p>
      <a:pPr>
        <a:defRPr sz="900"/>
      </a:pPr>
      <a:endParaRPr lang="el-G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415"/>
        </c:manualLayout>
      </c:layout>
      <c:lineChart>
        <c:grouping val="standard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'επαρχία '!$R$3:$AD$3</c:f>
              <c:numCache>
                <c:formatCode>General</c:formatCode>
                <c:ptCount val="13"/>
                <c:pt idx="0">
                  <c:v>8413</c:v>
                </c:pt>
                <c:pt idx="1">
                  <c:v>8989</c:v>
                </c:pt>
                <c:pt idx="2">
                  <c:v>9565</c:v>
                </c:pt>
                <c:pt idx="3">
                  <c:v>9457</c:v>
                </c:pt>
                <c:pt idx="4">
                  <c:v>8363</c:v>
                </c:pt>
                <c:pt idx="5">
                  <c:v>7696</c:v>
                </c:pt>
                <c:pt idx="6">
                  <c:v>7728</c:v>
                </c:pt>
                <c:pt idx="7">
                  <c:v>7662</c:v>
                </c:pt>
                <c:pt idx="8">
                  <c:v>7800</c:v>
                </c:pt>
                <c:pt idx="9">
                  <c:v>7581</c:v>
                </c:pt>
                <c:pt idx="10">
                  <c:v>7405</c:v>
                </c:pt>
                <c:pt idx="11">
                  <c:v>7010</c:v>
                </c:pt>
                <c:pt idx="12">
                  <c:v>6929</c:v>
                </c:pt>
              </c:numCache>
            </c:numRef>
          </c:val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'επαρχία '!$R$4:$AD$4</c:f>
              <c:numCache>
                <c:formatCode>General</c:formatCode>
                <c:ptCount val="13"/>
                <c:pt idx="0">
                  <c:v>636</c:v>
                </c:pt>
                <c:pt idx="1">
                  <c:v>656</c:v>
                </c:pt>
                <c:pt idx="2">
                  <c:v>718</c:v>
                </c:pt>
                <c:pt idx="3">
                  <c:v>636</c:v>
                </c:pt>
                <c:pt idx="4">
                  <c:v>546</c:v>
                </c:pt>
                <c:pt idx="5">
                  <c:v>806</c:v>
                </c:pt>
                <c:pt idx="6">
                  <c:v>5669</c:v>
                </c:pt>
                <c:pt idx="7">
                  <c:v>6239</c:v>
                </c:pt>
                <c:pt idx="8">
                  <c:v>6457</c:v>
                </c:pt>
                <c:pt idx="9">
                  <c:v>6349</c:v>
                </c:pt>
                <c:pt idx="10">
                  <c:v>5083</c:v>
                </c:pt>
                <c:pt idx="11">
                  <c:v>2030</c:v>
                </c:pt>
                <c:pt idx="12">
                  <c:v>570</c:v>
                </c:pt>
              </c:numCache>
            </c:numRef>
          </c:val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'επαρχία '!$R$5:$AD$5</c:f>
              <c:numCache>
                <c:formatCode>General</c:formatCode>
                <c:ptCount val="13"/>
                <c:pt idx="0">
                  <c:v>3571</c:v>
                </c:pt>
                <c:pt idx="1">
                  <c:v>3797</c:v>
                </c:pt>
                <c:pt idx="2">
                  <c:v>3945</c:v>
                </c:pt>
                <c:pt idx="3">
                  <c:v>3759</c:v>
                </c:pt>
                <c:pt idx="4">
                  <c:v>3462</c:v>
                </c:pt>
                <c:pt idx="5">
                  <c:v>3266</c:v>
                </c:pt>
                <c:pt idx="6">
                  <c:v>4785</c:v>
                </c:pt>
                <c:pt idx="7">
                  <c:v>4937</c:v>
                </c:pt>
                <c:pt idx="8">
                  <c:v>5289</c:v>
                </c:pt>
                <c:pt idx="9">
                  <c:v>5142</c:v>
                </c:pt>
                <c:pt idx="10">
                  <c:v>4589</c:v>
                </c:pt>
                <c:pt idx="11">
                  <c:v>3539</c:v>
                </c:pt>
                <c:pt idx="12">
                  <c:v>2955</c:v>
                </c:pt>
              </c:numCache>
            </c:numRef>
          </c:val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'επαρχία '!$R$6:$AD$6</c:f>
              <c:numCache>
                <c:formatCode>General</c:formatCode>
                <c:ptCount val="13"/>
                <c:pt idx="0">
                  <c:v>7343</c:v>
                </c:pt>
                <c:pt idx="1">
                  <c:v>7622</c:v>
                </c:pt>
                <c:pt idx="2">
                  <c:v>7848</c:v>
                </c:pt>
                <c:pt idx="3">
                  <c:v>7395</c:v>
                </c:pt>
                <c:pt idx="4">
                  <c:v>6638</c:v>
                </c:pt>
                <c:pt idx="5">
                  <c:v>6303</c:v>
                </c:pt>
                <c:pt idx="6">
                  <c:v>6322</c:v>
                </c:pt>
                <c:pt idx="7">
                  <c:v>6231</c:v>
                </c:pt>
                <c:pt idx="8">
                  <c:v>6421</c:v>
                </c:pt>
                <c:pt idx="9">
                  <c:v>6173</c:v>
                </c:pt>
                <c:pt idx="10">
                  <c:v>5785</c:v>
                </c:pt>
                <c:pt idx="11">
                  <c:v>5250</c:v>
                </c:pt>
                <c:pt idx="12">
                  <c:v>5254</c:v>
                </c:pt>
              </c:numCache>
            </c:numRef>
          </c:val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'επαρχία '!$R$7:$AD$7</c:f>
              <c:numCache>
                <c:formatCode>General</c:formatCode>
                <c:ptCount val="13"/>
                <c:pt idx="0">
                  <c:v>2876</c:v>
                </c:pt>
                <c:pt idx="1">
                  <c:v>2744</c:v>
                </c:pt>
                <c:pt idx="2">
                  <c:v>2727</c:v>
                </c:pt>
                <c:pt idx="3">
                  <c:v>2619</c:v>
                </c:pt>
                <c:pt idx="4">
                  <c:v>2390</c:v>
                </c:pt>
                <c:pt idx="5">
                  <c:v>2376</c:v>
                </c:pt>
                <c:pt idx="6">
                  <c:v>4010</c:v>
                </c:pt>
                <c:pt idx="7">
                  <c:v>4731</c:v>
                </c:pt>
                <c:pt idx="8">
                  <c:v>4984</c:v>
                </c:pt>
                <c:pt idx="9">
                  <c:v>4506</c:v>
                </c:pt>
                <c:pt idx="10">
                  <c:v>3646</c:v>
                </c:pt>
                <c:pt idx="11">
                  <c:v>2486</c:v>
                </c:pt>
                <c:pt idx="12">
                  <c:v>1899</c:v>
                </c:pt>
              </c:numCache>
            </c:numRef>
          </c:val>
        </c:ser>
        <c:marker val="1"/>
        <c:axId val="306443008"/>
        <c:axId val="306444544"/>
      </c:lineChart>
      <c:catAx>
        <c:axId val="3064430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306444544"/>
        <c:crosses val="autoZero"/>
        <c:auto val="1"/>
        <c:lblAlgn val="ctr"/>
        <c:lblOffset val="100"/>
      </c:catAx>
      <c:valAx>
        <c:axId val="306444544"/>
        <c:scaling>
          <c:orientation val="minMax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30644300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34"/>
          <c:w val="0.27032967032967947"/>
          <c:h val="0.52525252525251709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l-G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'!$T$1:$AF$2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'οικονομική '!$T$9:$AF$9</c:f>
              <c:numCache>
                <c:formatCode>General</c:formatCode>
                <c:ptCount val="13"/>
                <c:pt idx="0">
                  <c:v>4755</c:v>
                </c:pt>
                <c:pt idx="1">
                  <c:v>4551</c:v>
                </c:pt>
                <c:pt idx="2">
                  <c:v>4367</c:v>
                </c:pt>
                <c:pt idx="3">
                  <c:v>4270</c:v>
                </c:pt>
                <c:pt idx="4">
                  <c:v>4266</c:v>
                </c:pt>
                <c:pt idx="5">
                  <c:v>4221</c:v>
                </c:pt>
                <c:pt idx="6">
                  <c:v>4748</c:v>
                </c:pt>
                <c:pt idx="7">
                  <c:v>4615</c:v>
                </c:pt>
                <c:pt idx="8">
                  <c:v>4822</c:v>
                </c:pt>
                <c:pt idx="9">
                  <c:v>4819</c:v>
                </c:pt>
                <c:pt idx="10">
                  <c:v>4585</c:v>
                </c:pt>
                <c:pt idx="11">
                  <c:v>3970</c:v>
                </c:pt>
                <c:pt idx="12">
                  <c:v>3658</c:v>
                </c:pt>
              </c:numCache>
            </c:numRef>
          </c:val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'!$T$1:$AF$2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'οικονομική '!$T$11:$AF$11</c:f>
              <c:numCache>
                <c:formatCode>General</c:formatCode>
                <c:ptCount val="13"/>
                <c:pt idx="0">
                  <c:v>2692</c:v>
                </c:pt>
                <c:pt idx="1">
                  <c:v>2457</c:v>
                </c:pt>
                <c:pt idx="2">
                  <c:v>2293</c:v>
                </c:pt>
                <c:pt idx="3">
                  <c:v>2183</c:v>
                </c:pt>
                <c:pt idx="4">
                  <c:v>2226</c:v>
                </c:pt>
                <c:pt idx="5">
                  <c:v>2504</c:v>
                </c:pt>
                <c:pt idx="6">
                  <c:v>8623</c:v>
                </c:pt>
                <c:pt idx="7">
                  <c:v>9578</c:v>
                </c:pt>
                <c:pt idx="8">
                  <c:v>10030</c:v>
                </c:pt>
                <c:pt idx="9">
                  <c:v>9610</c:v>
                </c:pt>
                <c:pt idx="10">
                  <c:v>7515</c:v>
                </c:pt>
                <c:pt idx="11">
                  <c:v>3672</c:v>
                </c:pt>
                <c:pt idx="12">
                  <c:v>2108</c:v>
                </c:pt>
              </c:numCache>
            </c:numRef>
          </c:val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'!$T$1:$AF$2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'οικονομική '!$T$15:$AF$15</c:f>
              <c:numCache>
                <c:formatCode>General</c:formatCode>
                <c:ptCount val="13"/>
                <c:pt idx="0">
                  <c:v>1677</c:v>
                </c:pt>
                <c:pt idx="1">
                  <c:v>2171</c:v>
                </c:pt>
                <c:pt idx="2">
                  <c:v>2660</c:v>
                </c:pt>
                <c:pt idx="3">
                  <c:v>2516</c:v>
                </c:pt>
                <c:pt idx="4">
                  <c:v>1680</c:v>
                </c:pt>
                <c:pt idx="5">
                  <c:v>1346</c:v>
                </c:pt>
                <c:pt idx="6">
                  <c:v>1389</c:v>
                </c:pt>
                <c:pt idx="7">
                  <c:v>2095</c:v>
                </c:pt>
                <c:pt idx="8">
                  <c:v>2124</c:v>
                </c:pt>
                <c:pt idx="9">
                  <c:v>1437</c:v>
                </c:pt>
                <c:pt idx="10">
                  <c:v>1439</c:v>
                </c:pt>
                <c:pt idx="11">
                  <c:v>1261</c:v>
                </c:pt>
                <c:pt idx="12">
                  <c:v>1144</c:v>
                </c:pt>
              </c:numCache>
            </c:numRef>
          </c:val>
        </c:ser>
        <c:marker val="1"/>
        <c:axId val="352875264"/>
        <c:axId val="352876800"/>
      </c:lineChart>
      <c:catAx>
        <c:axId val="3528752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352876800"/>
        <c:crosses val="autoZero"/>
        <c:auto val="1"/>
        <c:lblAlgn val="ctr"/>
        <c:lblOffset val="100"/>
      </c:catAx>
      <c:valAx>
        <c:axId val="35287680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352875264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75"/>
          <c:w val="0.25192331347967778"/>
          <c:h val="0.36253829915605812"/>
        </c:manualLayout>
      </c:layout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6"/>
          <c:h val="0.42948852378971009"/>
        </c:manualLayout>
      </c:layout>
      <c:lineChart>
        <c:grouping val="standard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επάγγελμα!$S$1:$AE$2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Σεπτέμβρης</c:v>
                  </c:pt>
                  <c:pt idx="5">
                    <c:v>Οκτώβρης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επάγγελμα!$S$4:$AE$4</c:f>
              <c:numCache>
                <c:formatCode>General</c:formatCode>
                <c:ptCount val="13"/>
                <c:pt idx="0">
                  <c:v>1881</c:v>
                </c:pt>
                <c:pt idx="1">
                  <c:v>2812</c:v>
                </c:pt>
                <c:pt idx="2">
                  <c:v>3647</c:v>
                </c:pt>
                <c:pt idx="3">
                  <c:v>3522</c:v>
                </c:pt>
                <c:pt idx="4">
                  <c:v>2469</c:v>
                </c:pt>
                <c:pt idx="5">
                  <c:v>1919</c:v>
                </c:pt>
                <c:pt idx="6">
                  <c:v>1946</c:v>
                </c:pt>
                <c:pt idx="7">
                  <c:v>1942</c:v>
                </c:pt>
                <c:pt idx="8">
                  <c:v>1931</c:v>
                </c:pt>
                <c:pt idx="9">
                  <c:v>1886</c:v>
                </c:pt>
                <c:pt idx="10">
                  <c:v>1798</c:v>
                </c:pt>
                <c:pt idx="11">
                  <c:v>1782</c:v>
                </c:pt>
                <c:pt idx="12">
                  <c:v>1813</c:v>
                </c:pt>
              </c:numCache>
            </c:numRef>
          </c:val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επάγγελμα!$S$1:$AE$2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Σεπτέμβρης</c:v>
                  </c:pt>
                  <c:pt idx="5">
                    <c:v>Οκτώβρης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επάγγελμα!$S$6:$AE$6</c:f>
              <c:numCache>
                <c:formatCode>General</c:formatCode>
                <c:ptCount val="13"/>
                <c:pt idx="0">
                  <c:v>3606</c:v>
                </c:pt>
                <c:pt idx="1">
                  <c:v>3530</c:v>
                </c:pt>
                <c:pt idx="2">
                  <c:v>3748</c:v>
                </c:pt>
                <c:pt idx="3">
                  <c:v>3612</c:v>
                </c:pt>
                <c:pt idx="4">
                  <c:v>3537</c:v>
                </c:pt>
                <c:pt idx="5">
                  <c:v>3537</c:v>
                </c:pt>
                <c:pt idx="6">
                  <c:v>4379</c:v>
                </c:pt>
                <c:pt idx="7">
                  <c:v>4441</c:v>
                </c:pt>
                <c:pt idx="8">
                  <c:v>4611</c:v>
                </c:pt>
                <c:pt idx="9">
                  <c:v>4559</c:v>
                </c:pt>
                <c:pt idx="10">
                  <c:v>4271</c:v>
                </c:pt>
                <c:pt idx="11">
                  <c:v>3556</c:v>
                </c:pt>
                <c:pt idx="12">
                  <c:v>3199</c:v>
                </c:pt>
              </c:numCache>
            </c:numRef>
          </c:val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επάγγελμα!$S$1:$AE$2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Σεπτέμβρης</c:v>
                  </c:pt>
                  <c:pt idx="5">
                    <c:v>Οκτώβρης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επάγγελμα!$S$7:$AE$7</c:f>
              <c:numCache>
                <c:formatCode>General</c:formatCode>
                <c:ptCount val="13"/>
                <c:pt idx="0">
                  <c:v>5046</c:v>
                </c:pt>
                <c:pt idx="1">
                  <c:v>5315</c:v>
                </c:pt>
                <c:pt idx="2">
                  <c:v>5196</c:v>
                </c:pt>
                <c:pt idx="3">
                  <c:v>5035</c:v>
                </c:pt>
                <c:pt idx="4">
                  <c:v>4429</c:v>
                </c:pt>
                <c:pt idx="5">
                  <c:v>4432</c:v>
                </c:pt>
                <c:pt idx="6">
                  <c:v>8291</c:v>
                </c:pt>
                <c:pt idx="7">
                  <c:v>8951</c:v>
                </c:pt>
                <c:pt idx="8">
                  <c:v>9498</c:v>
                </c:pt>
                <c:pt idx="9">
                  <c:v>9082</c:v>
                </c:pt>
                <c:pt idx="10">
                  <c:v>7939</c:v>
                </c:pt>
                <c:pt idx="11">
                  <c:v>5094</c:v>
                </c:pt>
                <c:pt idx="12">
                  <c:v>3952</c:v>
                </c:pt>
              </c:numCache>
            </c:numRef>
          </c:val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επάγγελμα!$S$1:$AE$2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Σεπτέμβρης</c:v>
                  </c:pt>
                  <c:pt idx="5">
                    <c:v>Οκτώβρης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επάγγελμα!$S$9:$AE$9</c:f>
              <c:numCache>
                <c:formatCode>General</c:formatCode>
                <c:ptCount val="13"/>
                <c:pt idx="0">
                  <c:v>1679</c:v>
                </c:pt>
                <c:pt idx="1">
                  <c:v>1641</c:v>
                </c:pt>
                <c:pt idx="2">
                  <c:v>1539</c:v>
                </c:pt>
                <c:pt idx="3">
                  <c:v>1505</c:v>
                </c:pt>
                <c:pt idx="4">
                  <c:v>1491</c:v>
                </c:pt>
                <c:pt idx="5">
                  <c:v>1457</c:v>
                </c:pt>
                <c:pt idx="6">
                  <c:v>1617</c:v>
                </c:pt>
                <c:pt idx="7">
                  <c:v>1674</c:v>
                </c:pt>
                <c:pt idx="8">
                  <c:v>1746</c:v>
                </c:pt>
                <c:pt idx="9">
                  <c:v>1628</c:v>
                </c:pt>
                <c:pt idx="10">
                  <c:v>1473</c:v>
                </c:pt>
                <c:pt idx="11">
                  <c:v>1323</c:v>
                </c:pt>
                <c:pt idx="12">
                  <c:v>1260</c:v>
                </c:pt>
              </c:numCache>
            </c:numRef>
          </c:val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επάγγελμα!$S$1:$AE$2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Σεπτέμβρης</c:v>
                  </c:pt>
                  <c:pt idx="5">
                    <c:v>Οκτώβρης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επάγγελμα!$S$11:$AE$11</c:f>
              <c:numCache>
                <c:formatCode>General</c:formatCode>
                <c:ptCount val="13"/>
                <c:pt idx="0">
                  <c:v>4484</c:v>
                </c:pt>
                <c:pt idx="1">
                  <c:v>4376</c:v>
                </c:pt>
                <c:pt idx="2">
                  <c:v>4637</c:v>
                </c:pt>
                <c:pt idx="3">
                  <c:v>4343</c:v>
                </c:pt>
                <c:pt idx="4">
                  <c:v>3960</c:v>
                </c:pt>
                <c:pt idx="5">
                  <c:v>3960</c:v>
                </c:pt>
                <c:pt idx="6">
                  <c:v>6493</c:v>
                </c:pt>
                <c:pt idx="7">
                  <c:v>7157</c:v>
                </c:pt>
                <c:pt idx="8">
                  <c:v>7430</c:v>
                </c:pt>
                <c:pt idx="9">
                  <c:v>6926</c:v>
                </c:pt>
                <c:pt idx="10">
                  <c:v>5771</c:v>
                </c:pt>
                <c:pt idx="11">
                  <c:v>3981</c:v>
                </c:pt>
                <c:pt idx="12">
                  <c:v>3240</c:v>
                </c:pt>
              </c:numCache>
            </c:numRef>
          </c:val>
        </c:ser>
        <c:marker val="1"/>
        <c:axId val="367901696"/>
        <c:axId val="367964928"/>
      </c:lineChart>
      <c:catAx>
        <c:axId val="3679016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367964928"/>
        <c:crosses val="autoZero"/>
        <c:auto val="1"/>
        <c:lblAlgn val="ctr"/>
        <c:lblOffset val="100"/>
      </c:catAx>
      <c:valAx>
        <c:axId val="3679649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36790169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45"/>
          <c:y val="3.69127516778523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6331658126933721"/>
          <c:y val="0.20916028113935609"/>
          <c:w val="0.65817621421175565"/>
          <c:h val="0.34908411858353777"/>
        </c:manualLayout>
      </c:layout>
      <c:lineChart>
        <c:grouping val="standard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'ηλικία '!$R$3:$AD$3</c:f>
              <c:numCache>
                <c:formatCode>#,##0</c:formatCode>
                <c:ptCount val="13"/>
                <c:pt idx="0">
                  <c:v>1337</c:v>
                </c:pt>
                <c:pt idx="1">
                  <c:v>1275</c:v>
                </c:pt>
                <c:pt idx="2">
                  <c:v>1300</c:v>
                </c:pt>
                <c:pt idx="3">
                  <c:v>1226</c:v>
                </c:pt>
                <c:pt idx="4">
                  <c:v>1257</c:v>
                </c:pt>
                <c:pt idx="5">
                  <c:v>1203</c:v>
                </c:pt>
                <c:pt idx="6">
                  <c:v>1911</c:v>
                </c:pt>
                <c:pt idx="7">
                  <c:v>1858</c:v>
                </c:pt>
                <c:pt idx="8">
                  <c:v>2002</c:v>
                </c:pt>
                <c:pt idx="9">
                  <c:v>1908</c:v>
                </c:pt>
                <c:pt idx="10">
                  <c:v>1583</c:v>
                </c:pt>
                <c:pt idx="11">
                  <c:v>1065</c:v>
                </c:pt>
                <c:pt idx="12">
                  <c:v>855</c:v>
                </c:pt>
              </c:numCache>
            </c:numRef>
          </c:val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'ηλικία '!$R$4:$AD$4</c:f>
              <c:numCache>
                <c:formatCode>#,##0</c:formatCode>
                <c:ptCount val="13"/>
                <c:pt idx="0">
                  <c:v>2820</c:v>
                </c:pt>
                <c:pt idx="1">
                  <c:v>3054</c:v>
                </c:pt>
                <c:pt idx="2">
                  <c:v>3230</c:v>
                </c:pt>
                <c:pt idx="3">
                  <c:v>3135</c:v>
                </c:pt>
                <c:pt idx="4">
                  <c:v>2785</c:v>
                </c:pt>
                <c:pt idx="5">
                  <c:v>2702</c:v>
                </c:pt>
                <c:pt idx="6">
                  <c:v>3691</c:v>
                </c:pt>
                <c:pt idx="7">
                  <c:v>3711</c:v>
                </c:pt>
                <c:pt idx="8">
                  <c:v>3885</c:v>
                </c:pt>
                <c:pt idx="9">
                  <c:v>3792</c:v>
                </c:pt>
                <c:pt idx="10">
                  <c:v>3382</c:v>
                </c:pt>
                <c:pt idx="11">
                  <c:v>2512</c:v>
                </c:pt>
                <c:pt idx="12">
                  <c:v>2089</c:v>
                </c:pt>
              </c:numCache>
            </c:numRef>
          </c:val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'ηλικία '!$R$5:$AD$5</c:f>
              <c:numCache>
                <c:formatCode>#,##0</c:formatCode>
                <c:ptCount val="13"/>
                <c:pt idx="0">
                  <c:v>6284</c:v>
                </c:pt>
                <c:pt idx="1">
                  <c:v>6940</c:v>
                </c:pt>
                <c:pt idx="2">
                  <c:v>7323</c:v>
                </c:pt>
                <c:pt idx="3">
                  <c:v>7137</c:v>
                </c:pt>
                <c:pt idx="4">
                  <c:v>6045</c:v>
                </c:pt>
                <c:pt idx="5">
                  <c:v>5530</c:v>
                </c:pt>
                <c:pt idx="6">
                  <c:v>7515</c:v>
                </c:pt>
                <c:pt idx="7">
                  <c:v>7897</c:v>
                </c:pt>
                <c:pt idx="8">
                  <c:v>8112</c:v>
                </c:pt>
                <c:pt idx="9">
                  <c:v>7715</c:v>
                </c:pt>
                <c:pt idx="10">
                  <c:v>6867</c:v>
                </c:pt>
                <c:pt idx="11">
                  <c:v>5317</c:v>
                </c:pt>
                <c:pt idx="12">
                  <c:v>4649</c:v>
                </c:pt>
              </c:numCache>
            </c:numRef>
          </c:val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'ηλικία '!$R$6:$AD$6</c:f>
              <c:numCache>
                <c:formatCode>#,##0</c:formatCode>
                <c:ptCount val="13"/>
                <c:pt idx="0">
                  <c:v>4520</c:v>
                </c:pt>
                <c:pt idx="1">
                  <c:v>4566</c:v>
                </c:pt>
                <c:pt idx="2">
                  <c:v>4718</c:v>
                </c:pt>
                <c:pt idx="3">
                  <c:v>4456</c:v>
                </c:pt>
                <c:pt idx="4">
                  <c:v>4073</c:v>
                </c:pt>
                <c:pt idx="5">
                  <c:v>3903</c:v>
                </c:pt>
                <c:pt idx="6">
                  <c:v>5950</c:v>
                </c:pt>
                <c:pt idx="7">
                  <c:v>6366</c:v>
                </c:pt>
                <c:pt idx="8">
                  <c:v>6617</c:v>
                </c:pt>
                <c:pt idx="9">
                  <c:v>6361</c:v>
                </c:pt>
                <c:pt idx="10">
                  <c:v>5573</c:v>
                </c:pt>
                <c:pt idx="11">
                  <c:v>4088</c:v>
                </c:pt>
                <c:pt idx="12">
                  <c:v>3486</c:v>
                </c:pt>
              </c:numCache>
            </c:numRef>
          </c:val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'ηλικία '!$R$7:$AD$7</c:f>
              <c:numCache>
                <c:formatCode>#,##0</c:formatCode>
                <c:ptCount val="13"/>
                <c:pt idx="0">
                  <c:v>5259</c:v>
                </c:pt>
                <c:pt idx="1">
                  <c:v>5333</c:v>
                </c:pt>
                <c:pt idx="2">
                  <c:v>5534</c:v>
                </c:pt>
                <c:pt idx="3">
                  <c:v>5317</c:v>
                </c:pt>
                <c:pt idx="4">
                  <c:v>4766</c:v>
                </c:pt>
                <c:pt idx="5">
                  <c:v>4708</c:v>
                </c:pt>
                <c:pt idx="6">
                  <c:v>6530</c:v>
                </c:pt>
                <c:pt idx="7">
                  <c:v>6921</c:v>
                </c:pt>
                <c:pt idx="8">
                  <c:v>7210</c:v>
                </c:pt>
                <c:pt idx="9">
                  <c:v>6904</c:v>
                </c:pt>
                <c:pt idx="10">
                  <c:v>6230</c:v>
                </c:pt>
                <c:pt idx="11">
                  <c:v>4875</c:v>
                </c:pt>
                <c:pt idx="12">
                  <c:v>4277</c:v>
                </c:pt>
              </c:numCache>
            </c:numRef>
          </c:val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'ηλικία '!$R$8:$AD$8</c:f>
              <c:numCache>
                <c:formatCode>#,##0</c:formatCode>
                <c:ptCount val="13"/>
                <c:pt idx="0">
                  <c:v>2445</c:v>
                </c:pt>
                <c:pt idx="1">
                  <c:v>2466</c:v>
                </c:pt>
                <c:pt idx="2">
                  <c:v>2518</c:v>
                </c:pt>
                <c:pt idx="3">
                  <c:v>2425</c:v>
                </c:pt>
                <c:pt idx="4">
                  <c:v>2299</c:v>
                </c:pt>
                <c:pt idx="5">
                  <c:v>2236</c:v>
                </c:pt>
                <c:pt idx="6">
                  <c:v>2720</c:v>
                </c:pt>
                <c:pt idx="7">
                  <c:v>2851</c:v>
                </c:pt>
                <c:pt idx="8">
                  <c:v>2934</c:v>
                </c:pt>
                <c:pt idx="9">
                  <c:v>2883</c:v>
                </c:pt>
                <c:pt idx="10">
                  <c:v>2696</c:v>
                </c:pt>
                <c:pt idx="11">
                  <c:v>2307</c:v>
                </c:pt>
                <c:pt idx="12">
                  <c:v>2115</c:v>
                </c:pt>
              </c:numCache>
            </c:numRef>
          </c:val>
        </c:ser>
        <c:marker val="1"/>
        <c:axId val="370981504"/>
        <c:axId val="371065216"/>
      </c:lineChart>
      <c:catAx>
        <c:axId val="370981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371065216"/>
        <c:crosses val="autoZero"/>
        <c:auto val="1"/>
        <c:lblAlgn val="ctr"/>
        <c:lblOffset val="100"/>
      </c:catAx>
      <c:valAx>
        <c:axId val="371065216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370981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56"/>
          <c:w val="0.1426893883586797"/>
          <c:h val="0.45953178671458011"/>
        </c:manualLayout>
      </c:layout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l-G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3533734735810271"/>
          <c:y val="0.20660076762351728"/>
          <c:w val="0.65944704164690005"/>
          <c:h val="0.38490536115010454"/>
        </c:manualLayout>
      </c:layout>
      <c:lineChart>
        <c:grouping val="standard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'διάρκεια '!$R$8:$AD$8</c:f>
              <c:numCache>
                <c:formatCode>General</c:formatCode>
                <c:ptCount val="13"/>
                <c:pt idx="0">
                  <c:v>11839</c:v>
                </c:pt>
                <c:pt idx="1">
                  <c:v>10891</c:v>
                </c:pt>
                <c:pt idx="2">
                  <c:v>10441</c:v>
                </c:pt>
                <c:pt idx="3">
                  <c:v>9903</c:v>
                </c:pt>
                <c:pt idx="4">
                  <c:v>9565</c:v>
                </c:pt>
                <c:pt idx="5">
                  <c:v>9186</c:v>
                </c:pt>
                <c:pt idx="6">
                  <c:v>8789</c:v>
                </c:pt>
                <c:pt idx="7">
                  <c:v>8672</c:v>
                </c:pt>
                <c:pt idx="8">
                  <c:v>8509</c:v>
                </c:pt>
                <c:pt idx="9">
                  <c:v>8271</c:v>
                </c:pt>
                <c:pt idx="10">
                  <c:v>8385</c:v>
                </c:pt>
                <c:pt idx="11">
                  <c:v>8657</c:v>
                </c:pt>
                <c:pt idx="12">
                  <c:v>8300</c:v>
                </c:pt>
              </c:numCache>
            </c:numRef>
          </c:val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'διάρκεια '!$R$7:$AD$7</c:f>
              <c:numCache>
                <c:formatCode>#,##0</c:formatCode>
                <c:ptCount val="13"/>
                <c:pt idx="0" formatCode="General">
                  <c:v>7856</c:v>
                </c:pt>
                <c:pt idx="1">
                  <c:v>7429</c:v>
                </c:pt>
                <c:pt idx="2">
                  <c:v>6980</c:v>
                </c:pt>
                <c:pt idx="3">
                  <c:v>6617</c:v>
                </c:pt>
                <c:pt idx="4">
                  <c:v>6393</c:v>
                </c:pt>
                <c:pt idx="5">
                  <c:v>5952</c:v>
                </c:pt>
                <c:pt idx="6">
                  <c:v>5745</c:v>
                </c:pt>
                <c:pt idx="7">
                  <c:v>5468</c:v>
                </c:pt>
                <c:pt idx="8">
                  <c:v>5313</c:v>
                </c:pt>
                <c:pt idx="9">
                  <c:v>5171</c:v>
                </c:pt>
                <c:pt idx="10">
                  <c:v>4952</c:v>
                </c:pt>
                <c:pt idx="11">
                  <c:v>4796</c:v>
                </c:pt>
                <c:pt idx="12">
                  <c:v>4594</c:v>
                </c:pt>
              </c:numCache>
            </c:numRef>
          </c:val>
        </c:ser>
        <c:marker val="1"/>
        <c:axId val="371082752"/>
        <c:axId val="371084288"/>
      </c:lineChart>
      <c:catAx>
        <c:axId val="3710827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371084288"/>
        <c:crosses val="autoZero"/>
        <c:auto val="1"/>
        <c:lblAlgn val="ctr"/>
        <c:lblOffset val="100"/>
      </c:catAx>
      <c:valAx>
        <c:axId val="371084288"/>
        <c:scaling>
          <c:orientation val="minMax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371082752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103"/>
          <c:y val="3.745332050752245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6150841969498343E-2"/>
          <c:y val="0.24094960040107649"/>
          <c:w val="0.58061855670103057"/>
          <c:h val="0.31710480010223907"/>
        </c:manualLayout>
      </c:layout>
      <c:lineChart>
        <c:grouping val="standard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'!$AP$1:$BB$2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'υπηκοότητα '!$AP$4:$BB$4</c:f>
              <c:numCache>
                <c:formatCode>General</c:formatCode>
                <c:ptCount val="13"/>
                <c:pt idx="0">
                  <c:v>2554</c:v>
                </c:pt>
                <c:pt idx="1">
                  <c:v>2529</c:v>
                </c:pt>
                <c:pt idx="2">
                  <c:v>2513</c:v>
                </c:pt>
                <c:pt idx="3">
                  <c:v>2379</c:v>
                </c:pt>
                <c:pt idx="4">
                  <c:v>2422</c:v>
                </c:pt>
                <c:pt idx="5">
                  <c:v>2630</c:v>
                </c:pt>
                <c:pt idx="6">
                  <c:v>6332</c:v>
                </c:pt>
                <c:pt idx="7">
                  <c:v>6828</c:v>
                </c:pt>
                <c:pt idx="8">
                  <c:v>7269</c:v>
                </c:pt>
                <c:pt idx="9">
                  <c:v>7095</c:v>
                </c:pt>
                <c:pt idx="10">
                  <c:v>5678</c:v>
                </c:pt>
                <c:pt idx="11">
                  <c:v>3279</c:v>
                </c:pt>
                <c:pt idx="12">
                  <c:v>2334</c:v>
                </c:pt>
              </c:numCache>
            </c:numRef>
          </c:val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'!$AP$1:$BB$2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'υπηκοότητα '!$AP$5:$BB$5</c:f>
              <c:numCache>
                <c:formatCode>General</c:formatCode>
                <c:ptCount val="13"/>
                <c:pt idx="0">
                  <c:v>752</c:v>
                </c:pt>
                <c:pt idx="1">
                  <c:v>711</c:v>
                </c:pt>
                <c:pt idx="2">
                  <c:v>672</c:v>
                </c:pt>
                <c:pt idx="3">
                  <c:v>657</c:v>
                </c:pt>
                <c:pt idx="4">
                  <c:v>681</c:v>
                </c:pt>
                <c:pt idx="5">
                  <c:v>703</c:v>
                </c:pt>
                <c:pt idx="6">
                  <c:v>1057</c:v>
                </c:pt>
                <c:pt idx="7">
                  <c:v>1129</c:v>
                </c:pt>
                <c:pt idx="8">
                  <c:v>1176</c:v>
                </c:pt>
                <c:pt idx="9">
                  <c:v>1145</c:v>
                </c:pt>
                <c:pt idx="10">
                  <c:v>963</c:v>
                </c:pt>
                <c:pt idx="11">
                  <c:v>709</c:v>
                </c:pt>
                <c:pt idx="12">
                  <c:v>556</c:v>
                </c:pt>
              </c:numCache>
            </c:numRef>
          </c:val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'!$AP$1:$BB$2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'υπηκοότητα '!$AP$8:$BB$8</c:f>
              <c:numCache>
                <c:formatCode>General</c:formatCode>
                <c:ptCount val="13"/>
                <c:pt idx="0">
                  <c:v>1336</c:v>
                </c:pt>
                <c:pt idx="1">
                  <c:v>1215</c:v>
                </c:pt>
                <c:pt idx="2">
                  <c:v>1109</c:v>
                </c:pt>
                <c:pt idx="3">
                  <c:v>1042</c:v>
                </c:pt>
                <c:pt idx="4">
                  <c:v>945</c:v>
                </c:pt>
                <c:pt idx="5">
                  <c:v>851</c:v>
                </c:pt>
                <c:pt idx="6">
                  <c:v>824</c:v>
                </c:pt>
                <c:pt idx="7">
                  <c:v>767</c:v>
                </c:pt>
                <c:pt idx="8">
                  <c:v>765</c:v>
                </c:pt>
                <c:pt idx="9">
                  <c:v>719</c:v>
                </c:pt>
                <c:pt idx="10">
                  <c:v>655</c:v>
                </c:pt>
                <c:pt idx="11">
                  <c:v>623</c:v>
                </c:pt>
                <c:pt idx="12">
                  <c:v>567</c:v>
                </c:pt>
              </c:numCache>
            </c:numRef>
          </c:val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'!$AP$1:$BB$2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'υπηκοότητα '!$AP$3:$BB$3</c:f>
              <c:numCache>
                <c:formatCode>General</c:formatCode>
                <c:ptCount val="13"/>
                <c:pt idx="0">
                  <c:v>16731</c:v>
                </c:pt>
                <c:pt idx="1">
                  <c:v>17907</c:v>
                </c:pt>
                <c:pt idx="2">
                  <c:v>19129</c:v>
                </c:pt>
                <c:pt idx="3">
                  <c:v>18460</c:v>
                </c:pt>
                <c:pt idx="4">
                  <c:v>16036</c:v>
                </c:pt>
                <c:pt idx="5">
                  <c:v>15032</c:v>
                </c:pt>
                <c:pt idx="6">
                  <c:v>18591</c:v>
                </c:pt>
                <c:pt idx="7">
                  <c:v>19354</c:v>
                </c:pt>
                <c:pt idx="8">
                  <c:v>19911</c:v>
                </c:pt>
                <c:pt idx="9">
                  <c:v>18983</c:v>
                </c:pt>
                <c:pt idx="10">
                  <c:v>17591</c:v>
                </c:pt>
                <c:pt idx="11">
                  <c:v>14429</c:v>
                </c:pt>
                <c:pt idx="12">
                  <c:v>13066</c:v>
                </c:pt>
              </c:numCache>
            </c:numRef>
          </c:val>
        </c:ser>
        <c:marker val="1"/>
        <c:axId val="371120768"/>
        <c:axId val="371327360"/>
      </c:lineChart>
      <c:catAx>
        <c:axId val="3711207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371327360"/>
        <c:crosses val="autoZero"/>
        <c:auto val="1"/>
        <c:lblAlgn val="ctr"/>
        <c:lblOffset val="100"/>
      </c:catAx>
      <c:valAx>
        <c:axId val="371327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37112076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29"/>
          <c:w val="0.27651264946048421"/>
          <c:h val="0.69457349081364828"/>
        </c:manualLayout>
      </c:layout>
      <c:txPr>
        <a:bodyPr/>
        <a:lstStyle/>
        <a:p>
          <a:pPr>
            <a:defRPr lang="el-GR" sz="800"/>
          </a:pPr>
          <a:endParaRPr lang="el-GR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702"/>
          <c:y val="3.25258479247872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949185405878319"/>
          <c:y val="0.21607923110330887"/>
          <c:w val="0.59834598377905457"/>
          <c:h val="0.29523140542683929"/>
        </c:manualLayout>
      </c:layout>
      <c:lineChart>
        <c:grouping val="standard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μόρφωση!$R$8:$AD$8</c:f>
              <c:numCache>
                <c:formatCode>#,##0</c:formatCode>
                <c:ptCount val="13"/>
                <c:pt idx="0">
                  <c:v>11277</c:v>
                </c:pt>
                <c:pt idx="1">
                  <c:v>11175</c:v>
                </c:pt>
                <c:pt idx="2">
                  <c:v>11314</c:v>
                </c:pt>
                <c:pt idx="3">
                  <c:v>10770</c:v>
                </c:pt>
                <c:pt idx="4">
                  <c:v>10016</c:v>
                </c:pt>
                <c:pt idx="5">
                  <c:v>9905</c:v>
                </c:pt>
                <c:pt idx="6">
                  <c:v>14081</c:v>
                </c:pt>
                <c:pt idx="7">
                  <c:v>14858</c:v>
                </c:pt>
                <c:pt idx="8">
                  <c:v>15537</c:v>
                </c:pt>
                <c:pt idx="9">
                  <c:v>14902</c:v>
                </c:pt>
                <c:pt idx="10">
                  <c:v>13419</c:v>
                </c:pt>
                <c:pt idx="11">
                  <c:v>10088</c:v>
                </c:pt>
                <c:pt idx="12">
                  <c:v>8603</c:v>
                </c:pt>
              </c:numCache>
            </c:numRef>
          </c:val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μόρφωση!$R$9:$AD$9</c:f>
              <c:numCache>
                <c:formatCode>#,##0</c:formatCode>
                <c:ptCount val="13"/>
                <c:pt idx="0">
                  <c:v>6834</c:v>
                </c:pt>
                <c:pt idx="1">
                  <c:v>8208</c:v>
                </c:pt>
                <c:pt idx="2">
                  <c:v>9256</c:v>
                </c:pt>
                <c:pt idx="3">
                  <c:v>9155</c:v>
                </c:pt>
                <c:pt idx="4">
                  <c:v>7562</c:v>
                </c:pt>
                <c:pt idx="5">
                  <c:v>6705</c:v>
                </c:pt>
                <c:pt idx="6">
                  <c:v>7373</c:v>
                </c:pt>
                <c:pt idx="7">
                  <c:v>7332</c:v>
                </c:pt>
                <c:pt idx="8">
                  <c:v>7452</c:v>
                </c:pt>
                <c:pt idx="9">
                  <c:v>7303</c:v>
                </c:pt>
                <c:pt idx="10">
                  <c:v>6931</c:v>
                </c:pt>
                <c:pt idx="11">
                  <c:v>6160</c:v>
                </c:pt>
                <c:pt idx="12">
                  <c:v>5896</c:v>
                </c:pt>
              </c:numCache>
            </c:numRef>
          </c:val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μόρφωση!$R$1:$AD$2</c:f>
              <c:multiLvlStrCache>
                <c:ptCount val="13"/>
                <c:lvl>
                  <c:pt idx="0">
                    <c:v>Μάιος</c:v>
                  </c:pt>
                  <c:pt idx="1">
                    <c:v>Ιούνιος</c:v>
                  </c:pt>
                  <c:pt idx="2">
                    <c:v>Ιούλιος</c:v>
                  </c:pt>
                  <c:pt idx="3">
                    <c:v>Αύγουστος</c:v>
                  </c:pt>
                  <c:pt idx="4">
                    <c:v>Σεπτέμβριος</c:v>
                  </c:pt>
                  <c:pt idx="5">
                    <c:v>Οκτώβριος</c:v>
                  </c:pt>
                  <c:pt idx="6">
                    <c:v>Νοέμβριος</c:v>
                  </c:pt>
                  <c:pt idx="7">
                    <c:v>Δεκέμβριος</c:v>
                  </c:pt>
                  <c:pt idx="8">
                    <c:v>Ιανουάριος</c:v>
                  </c:pt>
                  <c:pt idx="9">
                    <c:v>Φεβρουάριος</c:v>
                  </c:pt>
                  <c:pt idx="10">
                    <c:v>Μάρτιος</c:v>
                  </c:pt>
                  <c:pt idx="11">
                    <c:v>Απρίλιος</c:v>
                  </c:pt>
                  <c:pt idx="12">
                    <c:v>Μάιος</c:v>
                  </c:pt>
                </c:lvl>
                <c:lvl>
                  <c:pt idx="0">
                    <c:v>2018</c:v>
                  </c:pt>
                  <c:pt idx="8">
                    <c:v>2019</c:v>
                  </c:pt>
                </c:lvl>
              </c:multiLvlStrCache>
            </c:multiLvlStrRef>
          </c:cat>
          <c:val>
            <c:numRef>
              <c:f>μόρφωση!$R$5:$AD$5</c:f>
              <c:numCache>
                <c:formatCode>#,##0</c:formatCode>
                <c:ptCount val="13"/>
                <c:pt idx="0">
                  <c:v>4728</c:v>
                </c:pt>
                <c:pt idx="1">
                  <c:v>4425</c:v>
                </c:pt>
                <c:pt idx="2">
                  <c:v>4233</c:v>
                </c:pt>
                <c:pt idx="3">
                  <c:v>3941</c:v>
                </c:pt>
                <c:pt idx="4">
                  <c:v>3821</c:v>
                </c:pt>
                <c:pt idx="5">
                  <c:v>3837</c:v>
                </c:pt>
                <c:pt idx="6">
                  <c:v>7060</c:v>
                </c:pt>
                <c:pt idx="7">
                  <c:v>7610</c:v>
                </c:pt>
                <c:pt idx="8">
                  <c:v>7962</c:v>
                </c:pt>
                <c:pt idx="9">
                  <c:v>7546</c:v>
                </c:pt>
                <c:pt idx="10">
                  <c:v>6158</c:v>
                </c:pt>
                <c:pt idx="11">
                  <c:v>4067</c:v>
                </c:pt>
                <c:pt idx="12">
                  <c:v>3108</c:v>
                </c:pt>
              </c:numCache>
            </c:numRef>
          </c:val>
        </c:ser>
        <c:marker val="1"/>
        <c:axId val="371366528"/>
        <c:axId val="371384704"/>
      </c:lineChart>
      <c:catAx>
        <c:axId val="3713665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371384704"/>
        <c:crosses val="autoZero"/>
        <c:auto val="1"/>
        <c:lblAlgn val="ctr"/>
        <c:lblOffset val="100"/>
      </c:catAx>
      <c:valAx>
        <c:axId val="371384704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37136652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73"/>
          <c:y val="0.21780104910888681"/>
          <c:w val="0.24643224113512577"/>
          <c:h val="0.39561740028398473"/>
        </c:manualLayout>
      </c:layout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A4D2-5B10-4037-9325-310312FA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Μάρτιος 2010:  Προκαταρτικές Επισημάνσεις/ Διαπιστώσεις Ανεργίας</vt:lpstr>
    </vt:vector>
  </TitlesOfParts>
  <Company>MOF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Μάρτιος 2010:  Προκαταρτικές Επισημάνσεις/ Διαπιστώσεις Ανεργίας</dc:title>
  <dc:creator>User</dc:creator>
  <cp:lastModifiedBy>User</cp:lastModifiedBy>
  <cp:revision>22</cp:revision>
  <cp:lastPrinted>2019-06-03T10:14:00Z</cp:lastPrinted>
  <dcterms:created xsi:type="dcterms:W3CDTF">2019-05-06T17:41:00Z</dcterms:created>
  <dcterms:modified xsi:type="dcterms:W3CDTF">2019-06-03T11:57:00Z</dcterms:modified>
</cp:coreProperties>
</file>